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numPr>
          <w:ilvl w:val="0"/>
          <w:numId w:val="0"/>
        </w:numPr>
        <w:spacing w:lineRule="auto" w:line="240" w:beforeAutospacing="1" w:afterAutospacing="1"/>
        <w:ind w:left="0" w:hanging="0"/>
        <w:jc w:val="center"/>
        <w:rPr>
          <w:rFonts w:ascii="Times New Roman" w:hAnsi="Times New Roman" w:eastAsia="Times New Roman" w:cs="Times New Roman"/>
          <w:b/>
          <w:b/>
          <w:bCs/>
          <w:kern w:val="2"/>
          <w:sz w:val="32"/>
          <w:szCs w:val="32"/>
        </w:rPr>
      </w:pPr>
      <w:r>
        <w:rPr>
          <w:rFonts w:eastAsia="Times New Roman" w:cs="Times New Roman"/>
          <w:b/>
          <w:bCs/>
          <w:kern w:val="2"/>
          <w:sz w:val="32"/>
          <w:szCs w:val="32"/>
        </w:rPr>
        <w:t>Доппельгерц актив Магний+вит.гр.В таблетки БАД упаковка №30</w:t>
      </w:r>
    </w:p>
    <w:p>
      <w:pPr>
        <w:pStyle w:val="Style13"/>
        <w:numPr>
          <w:ilvl w:val="0"/>
          <w:numId w:val="0"/>
        </w:numPr>
        <w:spacing w:lineRule="auto" w:line="240" w:beforeAutospacing="1" w:afterAutospacing="1"/>
        <w:ind w:left="0" w:hanging="0"/>
        <w:jc w:val="left"/>
        <w:outlineLvl w:val="0"/>
        <w:rPr/>
      </w:pPr>
      <w:r>
        <w:rPr>
          <w:rStyle w:val="Style11"/>
          <w:rFonts w:ascii="Times New Roman" w:hAnsi="Times New Roman"/>
          <w:b w:val="false"/>
          <w:bCs w:val="false"/>
          <w:sz w:val="28"/>
          <w:szCs w:val="28"/>
        </w:rPr>
        <w:t>Рекомендуется в качестве биологически активной добавки к пище - дополнительного источника витаминов В1, В6, В12, фолиевой кислоты, магния.</w:t>
      </w:r>
    </w:p>
    <w:p>
      <w:pPr>
        <w:pStyle w:val="2"/>
        <w:rPr>
          <w:rFonts w:ascii="Times New Roman" w:hAnsi="Times New Roman"/>
          <w:sz w:val="28"/>
          <w:szCs w:val="28"/>
        </w:rPr>
      </w:pPr>
      <w:r>
        <w:rPr>
          <w:rFonts w:ascii="Times New Roman" w:hAnsi="Times New Roman"/>
          <w:sz w:val="28"/>
          <w:szCs w:val="28"/>
        </w:rPr>
        <w:t>Состав:</w:t>
      </w:r>
    </w:p>
    <w:p>
      <w:pPr>
        <w:pStyle w:val="Style13"/>
        <w:rPr>
          <w:rFonts w:ascii="Times New Roman" w:hAnsi="Times New Roman"/>
          <w:sz w:val="28"/>
          <w:szCs w:val="28"/>
        </w:rPr>
      </w:pPr>
      <w:r>
        <w:rPr>
          <w:rFonts w:ascii="Times New Roman" w:hAnsi="Times New Roman"/>
          <w:sz w:val="28"/>
          <w:szCs w:val="28"/>
        </w:rPr>
        <w:t>Магния оксид (магний), целлюлоза микрокристаллическая (агент антислеживающий), гидроксипропилметилцеллюлоза (загуститель), соли магния стеариновой кислоты (агент антислеживающий), кроскармеллоза (стабилизатор), тальк (агент антислеживающий), пиридоксина гидрохлорид (витамин В6), диоксид кремния аморфный (агент антислеживающий), жирные кислоты (стабилизатор), тиамина мононитрат (витамин В1), оксиды и гидроксиды железа (красители), фолиевая кислота, цианокобаламин (витамин В12).</w:t>
      </w:r>
    </w:p>
    <w:p>
      <w:pPr>
        <w:pStyle w:val="2"/>
        <w:rPr>
          <w:rFonts w:ascii="Times New Roman" w:hAnsi="Times New Roman"/>
          <w:sz w:val="28"/>
          <w:szCs w:val="28"/>
        </w:rPr>
      </w:pPr>
      <w:r>
        <w:rPr>
          <w:rFonts w:ascii="Times New Roman" w:hAnsi="Times New Roman"/>
          <w:sz w:val="28"/>
          <w:szCs w:val="28"/>
        </w:rPr>
        <w:t>Форма выпуска:</w:t>
      </w:r>
    </w:p>
    <w:p>
      <w:pPr>
        <w:pStyle w:val="Style13"/>
        <w:rPr>
          <w:rFonts w:ascii="Times New Roman" w:hAnsi="Times New Roman"/>
          <w:sz w:val="28"/>
          <w:szCs w:val="28"/>
        </w:rPr>
      </w:pPr>
      <w:r>
        <w:rPr>
          <w:rFonts w:ascii="Times New Roman" w:hAnsi="Times New Roman"/>
          <w:sz w:val="28"/>
          <w:szCs w:val="28"/>
        </w:rPr>
        <w:t>Таблетки массой 1405 мг.</w:t>
        <w:br/>
        <w:br/>
      </w:r>
      <w:r>
        <w:rPr>
          <w:rFonts w:ascii="Times New Roman" w:hAnsi="Times New Roman"/>
          <w:b/>
          <w:bCs/>
          <w:sz w:val="28"/>
          <w:szCs w:val="28"/>
        </w:rPr>
        <w:t xml:space="preserve">Содержание биологически активных веществ в 1 таблетке: </w:t>
      </w:r>
      <w:r>
        <w:rPr>
          <w:rFonts w:ascii="Times New Roman" w:hAnsi="Times New Roman"/>
          <w:sz w:val="28"/>
          <w:szCs w:val="28"/>
        </w:rPr>
        <w:br/>
        <w:t xml:space="preserve">• магний - 400 мг; </w:t>
        <w:br/>
        <w:t xml:space="preserve">• витамин В6 - 5 мг; </w:t>
        <w:br/>
        <w:t xml:space="preserve">• витамин В1 - 4,2 мг; </w:t>
        <w:br/>
        <w:t xml:space="preserve">• фолиевая кислота - 600 мкг; </w:t>
        <w:br/>
        <w:t xml:space="preserve">• витамин В12 - 5 мкг. </w:t>
      </w:r>
    </w:p>
    <w:p>
      <w:pPr>
        <w:pStyle w:val="2"/>
        <w:rPr>
          <w:rFonts w:ascii="Times New Roman" w:hAnsi="Times New Roman"/>
          <w:sz w:val="28"/>
          <w:szCs w:val="28"/>
        </w:rPr>
      </w:pPr>
      <w:r>
        <w:rPr>
          <w:rFonts w:ascii="Times New Roman" w:hAnsi="Times New Roman"/>
          <w:sz w:val="28"/>
          <w:szCs w:val="28"/>
        </w:rPr>
        <w:t>Рекомендации по применению:</w:t>
      </w:r>
    </w:p>
    <w:p>
      <w:pPr>
        <w:pStyle w:val="Style13"/>
        <w:rPr>
          <w:rFonts w:ascii="Times New Roman" w:hAnsi="Times New Roman"/>
          <w:sz w:val="28"/>
          <w:szCs w:val="28"/>
        </w:rPr>
      </w:pPr>
      <w:r>
        <w:rPr>
          <w:rFonts w:ascii="Times New Roman" w:hAnsi="Times New Roman"/>
          <w:sz w:val="28"/>
          <w:szCs w:val="28"/>
        </w:rPr>
        <w:t>Лицам старше 18 лет принимать по 1 таблетке в день во время еды. Продолжительность приема - 1 месяц. При необходимости прием можно повторить.</w:t>
        <w:br/>
        <w:t xml:space="preserve">Перед применением необходимо проконсультироваться с врачом. </w:t>
        <w:br/>
        <w:t xml:space="preserve">Не является лекарственным средством. </w:t>
      </w:r>
    </w:p>
    <w:p>
      <w:pPr>
        <w:pStyle w:val="2"/>
        <w:rPr>
          <w:rFonts w:ascii="Times New Roman" w:hAnsi="Times New Roman"/>
          <w:sz w:val="28"/>
          <w:szCs w:val="28"/>
        </w:rPr>
      </w:pPr>
      <w:r>
        <w:rPr>
          <w:rFonts w:ascii="Times New Roman" w:hAnsi="Times New Roman"/>
          <w:sz w:val="28"/>
          <w:szCs w:val="28"/>
        </w:rPr>
        <w:t>Противопоказания:</w:t>
      </w:r>
    </w:p>
    <w:p>
      <w:pPr>
        <w:pStyle w:val="Style13"/>
        <w:rPr>
          <w:rFonts w:ascii="Times New Roman" w:hAnsi="Times New Roman"/>
          <w:sz w:val="28"/>
          <w:szCs w:val="28"/>
        </w:rPr>
      </w:pPr>
      <w:r>
        <w:rPr>
          <w:rFonts w:ascii="Times New Roman" w:hAnsi="Times New Roman"/>
          <w:sz w:val="28"/>
          <w:szCs w:val="28"/>
        </w:rPr>
        <w:t>Индивидуальная непереносимость компонентов БАД, беременность, кормление грудью.</w:t>
      </w:r>
    </w:p>
    <w:p>
      <w:pPr>
        <w:pStyle w:val="2"/>
        <w:rPr>
          <w:rFonts w:ascii="Times New Roman" w:hAnsi="Times New Roman"/>
          <w:sz w:val="28"/>
          <w:szCs w:val="28"/>
        </w:rPr>
      </w:pPr>
      <w:r>
        <w:rPr>
          <w:rFonts w:ascii="Times New Roman" w:hAnsi="Times New Roman"/>
          <w:sz w:val="28"/>
          <w:szCs w:val="28"/>
        </w:rPr>
        <w:t>Условия хранения:</w:t>
      </w:r>
    </w:p>
    <w:p>
      <w:pPr>
        <w:pStyle w:val="Style13"/>
        <w:rPr>
          <w:rFonts w:ascii="Times New Roman" w:hAnsi="Times New Roman"/>
          <w:sz w:val="28"/>
          <w:szCs w:val="28"/>
        </w:rPr>
      </w:pPr>
      <w:r>
        <w:rPr>
          <w:rFonts w:ascii="Times New Roman" w:hAnsi="Times New Roman"/>
          <w:sz w:val="28"/>
          <w:szCs w:val="28"/>
        </w:rPr>
        <w:t xml:space="preserve">Хранить в сухом, недоступном для детей месте при температуре не выше +25 °С. </w:t>
      </w:r>
    </w:p>
    <w:p>
      <w:pPr>
        <w:pStyle w:val="Style13"/>
        <w:numPr>
          <w:ilvl w:val="0"/>
          <w:numId w:val="0"/>
        </w:numPr>
        <w:spacing w:lineRule="auto" w:line="240" w:beforeAutospacing="1" w:afterAutospacing="1"/>
        <w:ind w:left="0" w:hanging="0"/>
        <w:jc w:val="left"/>
        <w:outlineLvl w:val="0"/>
        <w:rPr>
          <w:rStyle w:val="Style11"/>
          <w:rFonts w:ascii="Times New Roman" w:hAnsi="Times New Roman"/>
          <w:b w:val="false"/>
          <w:b w:val="false"/>
          <w:bCs w:val="false"/>
          <w:sz w:val="28"/>
          <w:szCs w:val="28"/>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OpenSymbol">
    <w:altName w:val="Arial Unicode MS"/>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ru-RU" w:bidi="ar-SA"/>
    </w:rPr>
  </w:style>
  <w:style w:type="paragraph" w:styleId="1">
    <w:name w:val="Heading 1"/>
    <w:basedOn w:val="Normal"/>
    <w:link w:val="11"/>
    <w:uiPriority w:val="9"/>
    <w:qFormat/>
    <w:rsid w:val="00aa4a80"/>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2">
    <w:name w:val="Heading 2"/>
    <w:basedOn w:val="Style12"/>
    <w:next w:val="Style13"/>
    <w:qFormat/>
    <w:pPr>
      <w:spacing w:before="200" w:after="120"/>
      <w:outlineLvl w:val="1"/>
    </w:pPr>
    <w:rPr>
      <w:rFonts w:ascii="Liberation Serif" w:hAnsi="Liberation Serif" w:eastAsia="Segoe UI" w:cs="Tahoma"/>
      <w:b/>
      <w:bCs/>
      <w:sz w:val="36"/>
      <w:szCs w:val="36"/>
    </w:rPr>
  </w:style>
  <w:style w:type="paragraph" w:styleId="3">
    <w:name w:val="Heading 3"/>
    <w:basedOn w:val="Normal"/>
    <w:link w:val="31"/>
    <w:uiPriority w:val="9"/>
    <w:qFormat/>
    <w:rsid w:val="00aa4a80"/>
    <w:pPr>
      <w:spacing w:lineRule="auto" w:line="240" w:beforeAutospacing="1" w:afterAutospacing="1"/>
      <w:outlineLvl w:val="2"/>
    </w:pPr>
    <w:rPr>
      <w:rFonts w:ascii="Times New Roman" w:hAnsi="Times New Roman" w:eastAsia="Times New Roman" w:cs="Times New Roman"/>
      <w:b/>
      <w:bCs/>
      <w:sz w:val="27"/>
      <w:szCs w:val="27"/>
    </w:rPr>
  </w:style>
  <w:style w:type="paragraph" w:styleId="4">
    <w:name w:val="Heading 4"/>
    <w:basedOn w:val="Style12"/>
    <w:next w:val="Style13"/>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aa4a80"/>
    <w:rPr>
      <w:rFonts w:ascii="Times New Roman" w:hAnsi="Times New Roman" w:eastAsia="Times New Roman" w:cs="Times New Roman"/>
      <w:b/>
      <w:bCs/>
      <w:kern w:val="2"/>
      <w:sz w:val="48"/>
      <w:szCs w:val="48"/>
    </w:rPr>
  </w:style>
  <w:style w:type="character" w:styleId="31" w:customStyle="1">
    <w:name w:val="Заголовок 3 Знак"/>
    <w:basedOn w:val="DefaultParagraphFont"/>
    <w:uiPriority w:val="9"/>
    <w:qFormat/>
    <w:rsid w:val="00aa4a80"/>
    <w:rPr>
      <w:rFonts w:ascii="Times New Roman" w:hAnsi="Times New Roman" w:eastAsia="Times New Roman" w:cs="Times New Roman"/>
      <w:b/>
      <w:bCs/>
      <w:sz w:val="27"/>
      <w:szCs w:val="27"/>
    </w:rPr>
  </w:style>
  <w:style w:type="character" w:styleId="Basecardprice" w:customStyle="1">
    <w:name w:val="base_card_price"/>
    <w:basedOn w:val="DefaultParagraphFont"/>
    <w:qFormat/>
    <w:rsid w:val="00aa4a80"/>
    <w:rPr/>
  </w:style>
  <w:style w:type="character" w:styleId="Rub" w:customStyle="1">
    <w:name w:val="rub"/>
    <w:basedOn w:val="DefaultParagraphFont"/>
    <w:qFormat/>
    <w:rsid w:val="00aa4a80"/>
    <w:rPr/>
  </w:style>
  <w:style w:type="character" w:styleId="12" w:customStyle="1">
    <w:name w:val="Название объекта1"/>
    <w:basedOn w:val="DefaultParagraphFont"/>
    <w:qFormat/>
    <w:rsid w:val="00aa4a80"/>
    <w:rPr/>
  </w:style>
  <w:style w:type="character" w:styleId="Text" w:customStyle="1">
    <w:name w:val="text"/>
    <w:basedOn w:val="DefaultParagraphFont"/>
    <w:qFormat/>
    <w:rsid w:val="00aa4a80"/>
    <w:rPr/>
  </w:style>
  <w:style w:type="character" w:styleId="Style10">
    <w:name w:val="Маркеры"/>
    <w:qFormat/>
    <w:rPr>
      <w:rFonts w:ascii="OpenSymbol" w:hAnsi="OpenSymbol" w:eastAsia="OpenSymbol" w:cs="OpenSymbol"/>
    </w:rPr>
  </w:style>
  <w:style w:type="character" w:styleId="Style11">
    <w:name w:val="Выделение жирным"/>
    <w:qFormat/>
    <w:rPr>
      <w:b/>
      <w:bCs/>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NormalWeb">
    <w:name w:val="Normal (Web)"/>
    <w:basedOn w:val="Normal"/>
    <w:uiPriority w:val="99"/>
    <w:semiHidden/>
    <w:unhideWhenUsed/>
    <w:qFormat/>
    <w:rsid w:val="00aa4a80"/>
    <w:pPr>
      <w:spacing w:lineRule="auto" w:line="240" w:beforeAutospacing="1" w:afterAutospacing="1"/>
    </w:pPr>
    <w:rPr>
      <w:rFonts w:ascii="Times New Roman" w:hAnsi="Times New Roman" w:eastAsia="Times New Roman" w:cs="Times New Roman"/>
      <w:sz w:val="24"/>
      <w:szCs w:val="24"/>
    </w:rPr>
  </w:style>
  <w:style w:type="paragraph" w:styleId="Style17">
    <w:name w:val="Содержимое таблицы"/>
    <w:basedOn w:val="Normal"/>
    <w:qFormat/>
    <w:pPr>
      <w:widowControl w:val="false"/>
      <w:suppressLineNumbers/>
    </w:pPr>
    <w:rPr/>
  </w:style>
  <w:style w:type="paragraph" w:styleId="Style18">
    <w:name w:val="Заголовок таблицы"/>
    <w:basedOn w:val="Style17"/>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Application>LibreOffice/7.3.5.2$Windows_X86_64 LibreOffice_project/184fe81b8c8c30d8b5082578aee2fed2ea847c01</Application>
  <AppVersion>15.0000</AppVersion>
  <Pages>2</Pages>
  <Words>173</Words>
  <Characters>1187</Characters>
  <CharactersWithSpaces>1358</CharactersWithSpaces>
  <Paragraphs>12</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2021-07-19T10:06:00Z</dcterms:created>
  <dc:creator>RePack by Diakov</dc:creator>
  <dc:description/>
  <dc:language>ru-RU</dc:language>
  <cp:lastModifiedBy/>
  <dcterms:modified xsi:type="dcterms:W3CDTF">2026-10-23T11:37:46Z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