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numPr>
          <w:ilvl w:val="0"/>
          <w:numId w:val="0"/>
        </w:numPr>
        <w:spacing w:lineRule="auto" w:line="240" w:beforeAutospacing="1" w:afterAutospacing="1"/>
        <w:ind w:left="0" w:hanging="0"/>
        <w:jc w:val="center"/>
        <w:rPr>
          <w:rFonts w:ascii="Times New Roman" w:hAnsi="Times New Roman" w:eastAsia="Times New Roman" w:cs="Times New Roman"/>
          <w:b/>
          <w:b/>
          <w:bCs/>
          <w:kern w:val="2"/>
          <w:sz w:val="32"/>
          <w:szCs w:val="32"/>
          <w:lang w:eastAsia="ru-RU"/>
          <w14:ligatures w14:val="none"/>
        </w:rPr>
      </w:pPr>
      <w:r>
        <w:rPr>
          <w:rFonts w:eastAsia="Times New Roman" w:cs="Times New Roman"/>
          <w:b/>
          <w:bCs/>
          <w:kern w:val="2"/>
          <w:sz w:val="32"/>
          <w:szCs w:val="32"/>
          <w:lang w:eastAsia="ru-RU"/>
          <w14:ligatures w14:val="none"/>
        </w:rPr>
        <w:t>Компливит Сияние БАД таблетки п/о БАД банка №30</w:t>
      </w:r>
    </w:p>
    <w:p>
      <w:pPr>
        <w:pStyle w:val="1"/>
        <w:numPr>
          <w:ilvl w:val="0"/>
          <w:numId w:val="0"/>
        </w:numPr>
        <w:spacing w:lineRule="auto" w:line="240" w:beforeAutospacing="1" w:afterAutospacing="1"/>
        <w:ind w:left="0" w:hanging="0"/>
        <w:jc w:val="left"/>
        <w:rPr>
          <w:b w:val="false"/>
          <w:b w:val="false"/>
          <w:bCs w:val="false"/>
          <w:sz w:val="28"/>
          <w:szCs w:val="28"/>
        </w:rPr>
      </w:pPr>
      <w:r>
        <w:rPr>
          <w:b/>
          <w:bCs/>
          <w:sz w:val="28"/>
          <w:szCs w:val="28"/>
        </w:rPr>
        <w:t>Рекомендуется</w:t>
      </w:r>
      <w:r>
        <w:rPr>
          <w:b w:val="false"/>
          <w:bCs w:val="false"/>
          <w:sz w:val="28"/>
          <w:szCs w:val="28"/>
        </w:rPr>
        <w:t xml:space="preserve"> в качестве биологически активной добавки к пище- дополнительного источника витаминов А, С, Е, группы В (В1, В2, В6, В12, фолиевой кислоты, биотина, кальция пантотената, никотинамида), минеральных элементов (меди, селена, кремния, железа, кобальта), липоевой кислоты и катехинов, содержащей кальций и цинк. Оказывает общеукрепляющее действие, способствует улучшению состояния кожи, волос и ногтей. </w:t>
      </w:r>
    </w:p>
    <w:p>
      <w:pPr>
        <w:pStyle w:val="3"/>
        <w:numPr>
          <w:ilvl w:val="0"/>
          <w:numId w:val="0"/>
        </w:numPr>
        <w:spacing w:lineRule="auto" w:line="240" w:beforeAutospacing="1" w:afterAutospacing="1"/>
        <w:ind w:left="0" w:hanging="0"/>
        <w:jc w:val="left"/>
        <w:rPr>
          <w:rFonts w:ascii="Times New Roman" w:hAnsi="Times New Roman"/>
          <w:b/>
          <w:b/>
          <w:bCs/>
          <w:sz w:val="28"/>
          <w:szCs w:val="28"/>
        </w:rPr>
      </w:pPr>
      <w:r>
        <w:rPr>
          <w:rFonts w:eastAsia="Times New Roman" w:cs="Times New Roman" w:ascii="Times New Roman" w:hAnsi="Times New Roman"/>
          <w:b/>
          <w:bCs/>
          <w:kern w:val="2"/>
          <w:sz w:val="28"/>
          <w:szCs w:val="28"/>
          <w:lang w:eastAsia="ru-RU"/>
          <w14:ligatures w14:val="none"/>
        </w:rPr>
        <w:t>Состав:</w:t>
      </w:r>
    </w:p>
    <w:tbl>
      <w:tblPr>
        <w:tblW w:w="9355" w:type="dxa"/>
        <w:jc w:val="left"/>
        <w:tblInd w:w="-6" w:type="dxa"/>
        <w:tblLayout w:type="fixed"/>
        <w:tblCellMar>
          <w:top w:w="28" w:type="dxa"/>
          <w:left w:w="28" w:type="dxa"/>
          <w:bottom w:w="28" w:type="dxa"/>
          <w:right w:w="28" w:type="dxa"/>
        </w:tblCellMar>
      </w:tblPr>
      <w:tblGrid>
        <w:gridCol w:w="6456"/>
        <w:gridCol w:w="1475"/>
        <w:gridCol w:w="1424"/>
      </w:tblGrid>
      <w:tr>
        <w:trPr/>
        <w:tc>
          <w:tcPr>
            <w:tcW w:w="7931" w:type="dxa"/>
            <w:gridSpan w:val="2"/>
            <w:tcBorders>
              <w:top w:val="single" w:sz="6" w:space="0" w:color="808080"/>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Наименование и количество действующих веществ в одной таблетке </w:t>
            </w:r>
          </w:p>
        </w:tc>
        <w:tc>
          <w:tcPr>
            <w:tcW w:w="1424" w:type="dxa"/>
            <w:tcBorders>
              <w:top w:val="single" w:sz="6" w:space="0" w:color="808080"/>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 от РСП**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Кальций (в виде кальция карбоната)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100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Витамин С (аскорбиновая кислота)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70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100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Никотинамид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20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100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Магний (в виде магния оксида)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20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5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Катехины (сухой экстракт зеленого чая)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не менее 18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35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Витамин Е* (α-токоферола ацетат)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15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150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Липоевая кислота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33,3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Кальция пантотенат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5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100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Железо (в виде железа фумарата)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5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36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Кремний (в виде кремния диоксида)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5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100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Витамин В1* (тиамина гидрохлорид)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2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133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Витамин В2* (рибофлавин)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2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111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Витамин В6 (пиридоксина гидрохлорид)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2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100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Цинк (в виде цинка оксида)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2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13,3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Витамин А (ретинола ацетат)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 мг (2907 МЕ)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100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Медь (в виде меди сульфата)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 мг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100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Фолиевая кислота*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400 мкг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200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Селен (в виде натрия селенита)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25 мкг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36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d-Биотин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50 мкг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100 </w:t>
            </w:r>
          </w:p>
        </w:tc>
      </w:tr>
      <w:tr>
        <w:trPr/>
        <w:tc>
          <w:tcPr>
            <w:tcW w:w="6456" w:type="dxa"/>
            <w:tcBorders>
              <w:left w:val="single" w:sz="6"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Кобальт (в виде кобальта сульфата) </w:t>
            </w:r>
          </w:p>
        </w:tc>
        <w:tc>
          <w:tcPr>
            <w:tcW w:w="1475"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 мкг </w:t>
            </w:r>
          </w:p>
        </w:tc>
        <w:tc>
          <w:tcPr>
            <w:tcW w:w="1424" w:type="dxa"/>
            <w:tcBorders>
              <w:left w:val="single" w:sz="2" w:space="0" w:color="808080"/>
              <w:bottom w:val="single" w:sz="2"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100 </w:t>
            </w:r>
          </w:p>
        </w:tc>
      </w:tr>
      <w:tr>
        <w:trPr/>
        <w:tc>
          <w:tcPr>
            <w:tcW w:w="6456" w:type="dxa"/>
            <w:tcBorders>
              <w:left w:val="single" w:sz="6" w:space="0" w:color="808080"/>
              <w:bottom w:val="single" w:sz="6"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Витамин В12 (цианокобаламин) </w:t>
            </w:r>
          </w:p>
        </w:tc>
        <w:tc>
          <w:tcPr>
            <w:tcW w:w="1475" w:type="dxa"/>
            <w:tcBorders>
              <w:left w:val="single" w:sz="2" w:space="0" w:color="808080"/>
              <w:bottom w:val="single" w:sz="6"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3 мкг </w:t>
            </w:r>
          </w:p>
        </w:tc>
        <w:tc>
          <w:tcPr>
            <w:tcW w:w="1424" w:type="dxa"/>
            <w:tcBorders>
              <w:left w:val="single" w:sz="2" w:space="0" w:color="808080"/>
              <w:bottom w:val="single" w:sz="6" w:space="0" w:color="808080"/>
              <w:right w:val="single" w:sz="6" w:space="0" w:color="808080"/>
            </w:tcBorders>
            <w:vAlign w:val="center"/>
          </w:tcPr>
          <w:p>
            <w:pPr>
              <w:pStyle w:val="Style16"/>
              <w:widowControl w:val="false"/>
              <w:spacing w:before="0" w:after="160"/>
              <w:rPr>
                <w:rFonts w:ascii="Times New Roman" w:hAnsi="Times New Roman"/>
                <w:sz w:val="28"/>
                <w:szCs w:val="28"/>
              </w:rPr>
            </w:pPr>
            <w:r>
              <w:rPr>
                <w:rFonts w:ascii="Times New Roman" w:hAnsi="Times New Roman"/>
                <w:sz w:val="28"/>
                <w:szCs w:val="28"/>
              </w:rPr>
              <w:t xml:space="preserve">100 </w:t>
            </w:r>
          </w:p>
        </w:tc>
      </w:tr>
    </w:tbl>
    <w:p>
      <w:pPr>
        <w:pStyle w:val="Style12"/>
        <w:spacing w:before="0" w:after="0"/>
        <w:rPr>
          <w:rFonts w:ascii="Times New Roman" w:hAnsi="Times New Roman"/>
          <w:sz w:val="28"/>
          <w:szCs w:val="28"/>
        </w:rPr>
      </w:pPr>
      <w:r>
        <w:rPr>
          <w:rFonts w:ascii="Times New Roman" w:hAnsi="Times New Roman"/>
          <w:sz w:val="28"/>
          <w:szCs w:val="28"/>
        </w:rPr>
        <w:t>* содержание не превышает верхний допустимый уровень потребления</w:t>
        <w:br/>
        <w:t xml:space="preserve">** рекомендованная суточная потребность </w:t>
        <w:br/>
      </w:r>
      <w:r>
        <w:rPr>
          <w:rFonts w:ascii="Times New Roman" w:hAnsi="Times New Roman"/>
          <w:i/>
          <w:sz w:val="28"/>
          <w:szCs w:val="28"/>
        </w:rPr>
        <w:t>Вспомогательные вещества:</w:t>
      </w:r>
      <w:r>
        <w:rPr>
          <w:rFonts w:ascii="Times New Roman" w:hAnsi="Times New Roman"/>
          <w:sz w:val="28"/>
          <w:szCs w:val="28"/>
        </w:rPr>
        <w:t xml:space="preserve"> лактоза (сахар молочный), крахмал картофельный, повидон (Е 1201), коллидон, тальк (Е 553), гидроксипропилметилцеллюлоза (Е 464), титана диоксид (Е 171), магния стеарат (Е 470), полиэтиленоксид (Е 1521), лимонная кислота (Е 330), краси</w:t>
        <w:softHyphen/>
        <w:t>тель индигокармин (Е 132), краситель кармуазин (Е 122).</w:t>
      </w:r>
    </w:p>
    <w:p>
      <w:pPr>
        <w:pStyle w:val="3"/>
        <w:numPr>
          <w:ilvl w:val="0"/>
          <w:numId w:val="0"/>
        </w:numPr>
        <w:spacing w:lineRule="auto" w:line="240" w:beforeAutospacing="1" w:afterAutospacing="1"/>
        <w:ind w:left="0" w:hanging="0"/>
        <w:jc w:val="left"/>
        <w:rPr>
          <w:rFonts w:ascii="Times New Roman" w:hAnsi="Times New Roman"/>
          <w:b w:val="false"/>
          <w:b w:val="false"/>
          <w:bCs w:val="false"/>
          <w:sz w:val="28"/>
          <w:szCs w:val="28"/>
        </w:rPr>
      </w:pPr>
      <w:r>
        <w:rPr>
          <w:rFonts w:eastAsia="Times New Roman" w:cs="Times New Roman" w:ascii="Times New Roman" w:hAnsi="Times New Roman"/>
          <w:b/>
          <w:bCs/>
          <w:kern w:val="2"/>
          <w:sz w:val="28"/>
          <w:szCs w:val="28"/>
          <w:lang w:eastAsia="ru-RU"/>
          <w14:ligatures w14:val="none"/>
        </w:rPr>
        <w:t>Способ применения и дозы:</w:t>
      </w:r>
      <w:r>
        <w:rPr>
          <w:rFonts w:eastAsia="Times New Roman" w:cs="Times New Roman" w:ascii="Times New Roman" w:hAnsi="Times New Roman"/>
          <w:b w:val="false"/>
          <w:bCs w:val="false"/>
          <w:kern w:val="2"/>
          <w:sz w:val="28"/>
          <w:szCs w:val="28"/>
          <w:lang w:eastAsia="ru-RU"/>
          <w14:ligatures w14:val="none"/>
        </w:rPr>
        <w:t xml:space="preserve"> взрослым по 1 таблетке 1 раз в день во время еды. Продолжительность приема - 1 месяц. </w:t>
      </w:r>
    </w:p>
    <w:p>
      <w:pPr>
        <w:pStyle w:val="3"/>
        <w:numPr>
          <w:ilvl w:val="0"/>
          <w:numId w:val="0"/>
        </w:numPr>
        <w:spacing w:lineRule="auto" w:line="240" w:beforeAutospacing="1" w:afterAutospacing="1"/>
        <w:ind w:left="0" w:hanging="0"/>
        <w:jc w:val="left"/>
        <w:rPr>
          <w:rFonts w:ascii="Times New Roman" w:hAnsi="Times New Roman"/>
          <w:b w:val="false"/>
          <w:b w:val="false"/>
          <w:bCs w:val="false"/>
          <w:sz w:val="28"/>
          <w:szCs w:val="28"/>
        </w:rPr>
      </w:pPr>
      <w:r>
        <w:rPr>
          <w:rFonts w:eastAsia="Times New Roman" w:cs="Times New Roman" w:ascii="Times New Roman" w:hAnsi="Times New Roman"/>
          <w:b/>
          <w:bCs/>
          <w:kern w:val="2"/>
          <w:sz w:val="28"/>
          <w:szCs w:val="28"/>
          <w:lang w:eastAsia="ru-RU"/>
          <w14:ligatures w14:val="none"/>
        </w:rPr>
        <w:t xml:space="preserve">Противопоказания: </w:t>
      </w:r>
      <w:r>
        <w:rPr>
          <w:rFonts w:eastAsia="Times New Roman" w:cs="Times New Roman" w:ascii="Times New Roman" w:hAnsi="Times New Roman"/>
          <w:b w:val="false"/>
          <w:bCs w:val="false"/>
          <w:kern w:val="2"/>
          <w:sz w:val="28"/>
          <w:szCs w:val="28"/>
          <w:lang w:eastAsia="ru-RU"/>
          <w14:ligatures w14:val="none"/>
        </w:rPr>
        <w:t xml:space="preserve">индивидуальная непереносимость компонентов, беременность, кормление грудью. Перед применением рекомендуется проконсультироваться с врачом. Не является лекарственным средством. </w:t>
      </w:r>
    </w:p>
    <w:p>
      <w:pPr>
        <w:pStyle w:val="3"/>
        <w:numPr>
          <w:ilvl w:val="0"/>
          <w:numId w:val="0"/>
        </w:numPr>
        <w:spacing w:lineRule="auto" w:line="240" w:beforeAutospacing="1" w:afterAutospacing="1"/>
        <w:ind w:left="0" w:hanging="0"/>
        <w:jc w:val="left"/>
        <w:rPr>
          <w:rFonts w:ascii="Times New Roman" w:hAnsi="Times New Roman"/>
          <w:b/>
          <w:b/>
          <w:bCs/>
          <w:sz w:val="28"/>
          <w:szCs w:val="28"/>
        </w:rPr>
      </w:pPr>
      <w:r>
        <w:rPr>
          <w:rFonts w:eastAsia="Times New Roman" w:cs="Times New Roman" w:ascii="Times New Roman" w:hAnsi="Times New Roman"/>
          <w:b/>
          <w:bCs/>
          <w:kern w:val="2"/>
          <w:sz w:val="28"/>
          <w:szCs w:val="28"/>
          <w:lang w:eastAsia="ru-RU"/>
          <w14:ligatures w14:val="none"/>
        </w:rPr>
        <w:t>Условия хранения:</w:t>
      </w:r>
    </w:p>
    <w:p>
      <w:pPr>
        <w:pStyle w:val="Style12"/>
        <w:spacing w:before="0" w:after="0"/>
        <w:rPr>
          <w:rFonts w:ascii="Times New Roman" w:hAnsi="Times New Roman"/>
          <w:sz w:val="28"/>
          <w:szCs w:val="28"/>
        </w:rPr>
      </w:pPr>
      <w:r>
        <w:rPr>
          <w:rFonts w:ascii="Times New Roman" w:hAnsi="Times New Roman"/>
          <w:sz w:val="28"/>
          <w:szCs w:val="28"/>
        </w:rPr>
        <w:t xml:space="preserve">В сухом, защищенном от света, недоступном для детей месте при температуре не выше 25 °С. </w:t>
      </w:r>
    </w:p>
    <w:p>
      <w:pPr>
        <w:pStyle w:val="Style12"/>
        <w:numPr>
          <w:ilvl w:val="0"/>
          <w:numId w:val="0"/>
        </w:numPr>
        <w:spacing w:lineRule="auto" w:line="240" w:beforeAutospacing="1" w:afterAutospacing="1"/>
        <w:ind w:left="0" w:hanging="0"/>
        <w:jc w:val="left"/>
        <w:rPr>
          <w:rFonts w:ascii="Times New Roman" w:hAnsi="Times New Roman"/>
          <w:sz w:val="28"/>
          <w:szCs w:val="28"/>
        </w:rPr>
      </w:pPr>
      <w:r>
        <w:rPr>
          <w:rFonts w:ascii="Times New Roman" w:hAnsi="Times New Roman"/>
          <w:sz w:val="28"/>
          <w:szCs w:val="28"/>
        </w:rPr>
      </w:r>
    </w:p>
    <w:p>
      <w:pPr>
        <w:pStyle w:val="Style12"/>
        <w:numPr>
          <w:ilvl w:val="0"/>
          <w:numId w:val="0"/>
        </w:numPr>
        <w:spacing w:lineRule="auto" w:line="240" w:beforeAutospacing="1" w:afterAutospacing="1"/>
        <w:ind w:left="0" w:hanging="0"/>
        <w:jc w:val="left"/>
        <w:rPr>
          <w:rFonts w:ascii="Times New Roman" w:hAnsi="Times New Roman"/>
          <w:b w:val="false"/>
          <w:b w:val="false"/>
          <w:bCs w:val="false"/>
          <w:sz w:val="28"/>
          <w:szCs w:val="28"/>
        </w:rPr>
      </w:pPr>
      <w:r>
        <w:rPr>
          <w:rFonts w:ascii="Times New Roman" w:hAnsi="Times New Roman"/>
          <w:b w:val="false"/>
          <w:bCs w:val="false"/>
          <w:sz w:val="28"/>
          <w:szCs w:val="28"/>
        </w:rPr>
      </w:r>
    </w:p>
    <w:p>
      <w:pPr>
        <w:pStyle w:val="Style12"/>
        <w:numPr>
          <w:ilvl w:val="0"/>
          <w:numId w:val="0"/>
        </w:numPr>
        <w:spacing w:lineRule="auto" w:line="240" w:beforeAutospacing="1" w:afterAutospacing="1"/>
        <w:ind w:left="0" w:hanging="0"/>
        <w:jc w:val="left"/>
        <w:rPr>
          <w:rFonts w:ascii="Times New Roman" w:hAnsi="Times New Roman"/>
          <w:b w:val="false"/>
          <w:b w:val="false"/>
          <w:bCs w:val="false"/>
          <w:sz w:val="28"/>
          <w:szCs w:val="28"/>
        </w:rPr>
      </w:pPr>
      <w:r>
        <w:rPr>
          <w:rFonts w:ascii="Times New Roman" w:hAnsi="Times New Roman"/>
          <w:b w:val="false"/>
          <w:bCs w:val="false"/>
          <w:sz w:val="28"/>
          <w:szCs w:val="28"/>
        </w:rPr>
      </w:r>
    </w:p>
    <w:p>
      <w:pPr>
        <w:pStyle w:val="Style12"/>
        <w:numPr>
          <w:ilvl w:val="0"/>
          <w:numId w:val="0"/>
        </w:numPr>
        <w:spacing w:lineRule="auto" w:line="240" w:beforeAutospacing="1" w:afterAutospacing="1"/>
        <w:ind w:left="0" w:hanging="0"/>
        <w:jc w:val="left"/>
        <w:rPr>
          <w:rFonts w:ascii="Times New Roman" w:hAnsi="Times New Roman"/>
          <w:b w:val="false"/>
          <w:b w:val="false"/>
          <w:bCs w:val="false"/>
          <w:sz w:val="28"/>
          <w:szCs w:val="28"/>
        </w:rPr>
      </w:pPr>
      <w:r>
        <w:rPr>
          <w:rFonts w:ascii="Times New Roman" w:hAnsi="Times New Roman"/>
          <w:b w:val="false"/>
          <w:bCs w:val="false"/>
          <w:sz w:val="28"/>
          <w:szCs w:val="28"/>
        </w:rPr>
      </w:r>
    </w:p>
    <w:p>
      <w:pPr>
        <w:pStyle w:val="Style12"/>
        <w:numPr>
          <w:ilvl w:val="0"/>
          <w:numId w:val="0"/>
        </w:numPr>
        <w:spacing w:lineRule="auto" w:line="240" w:beforeAutospacing="1" w:afterAutospacing="1"/>
        <w:ind w:left="0" w:hanging="0"/>
        <w:jc w:val="left"/>
        <w:outlineLvl w:val="0"/>
        <w:rPr>
          <w:rFonts w:ascii="Times New Roman" w:hAnsi="Times New Roman"/>
          <w:sz w:val="28"/>
          <w:szCs w:val="28"/>
        </w:rPr>
      </w:pPr>
      <w:r>
        <w:rPr>
          <w:rFonts w:ascii="Times New Roman" w:hAnsi="Times New Roman"/>
          <w:sz w:val="28"/>
          <w:szCs w:val="28"/>
        </w:rPr>
      </w:r>
    </w:p>
    <w:p>
      <w:pPr>
        <w:pStyle w:val="Style12"/>
        <w:numPr>
          <w:ilvl w:val="0"/>
          <w:numId w:val="0"/>
        </w:numPr>
        <w:spacing w:lineRule="auto" w:line="240" w:beforeAutospacing="1" w:afterAutospacing="1"/>
        <w:ind w:left="0" w:hanging="0"/>
        <w:jc w:val="left"/>
        <w:outlineLvl w:val="0"/>
        <w:rPr/>
      </w:pPr>
      <w:r>
        <w:rPr>
          <w:rFonts w:ascii="Times New Roman" w:hAnsi="Times New Roman"/>
          <w:sz w:val="28"/>
          <w:szCs w:val="28"/>
        </w:rPr>
        <w:br/>
        <w:br/>
      </w:r>
    </w:p>
    <w:p>
      <w:pPr>
        <w:pStyle w:val="2"/>
        <w:rPr/>
      </w:pPr>
      <w:r>
        <w:rPr/>
      </w:r>
    </w:p>
    <w:p>
      <w:pPr>
        <w:pStyle w:val="Normal"/>
        <w:numPr>
          <w:ilvl w:val="0"/>
          <w:numId w:val="0"/>
        </w:numPr>
        <w:spacing w:lineRule="auto" w:line="240" w:beforeAutospacing="1" w:afterAutospacing="1"/>
        <w:ind w:left="0" w:hanging="0"/>
        <w:jc w:val="left"/>
        <w:outlineLvl w:val="0"/>
        <w:rPr>
          <w:rFonts w:ascii="Times New Roman" w:hAnsi="Times New Roman"/>
          <w:sz w:val="28"/>
          <w:szCs w:val="28"/>
        </w:rPr>
      </w:pPr>
      <w:r>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erif">
    <w:altName w:val="Times New Roman"/>
    <w:charset w:val="cc"/>
    <w:family w:val="swiss"/>
    <w:pitch w:val="variable"/>
  </w:font>
  <w:font w:name="Calibri Light">
    <w:charset w:val="cc"/>
    <w:family w:val="roman"/>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ru-RU"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2"/>
      <w:sz w:val="22"/>
      <w:szCs w:val="22"/>
      <w:lang w:val="ru-RU" w:eastAsia="en-US" w:bidi="ar-SA"/>
      <w14:ligatures w14:val="standardContextual"/>
    </w:rPr>
  </w:style>
  <w:style w:type="paragraph" w:styleId="1">
    <w:name w:val="Heading 1"/>
    <w:basedOn w:val="Normal"/>
    <w:link w:val="11"/>
    <w:uiPriority w:val="9"/>
    <w:qFormat/>
    <w:rsid w:val="00644db5"/>
    <w:pPr>
      <w:spacing w:lineRule="auto" w:line="240" w:beforeAutospacing="1" w:afterAutospacing="1"/>
      <w:outlineLvl w:val="0"/>
    </w:pPr>
    <w:rPr>
      <w:rFonts w:ascii="Times New Roman" w:hAnsi="Times New Roman" w:eastAsia="Times New Roman" w:cs="Times New Roman"/>
      <w:b/>
      <w:bCs/>
      <w:kern w:val="2"/>
      <w:sz w:val="48"/>
      <w:szCs w:val="48"/>
      <w:lang w:eastAsia="ru-RU"/>
      <w14:ligatures w14:val="none"/>
    </w:rPr>
  </w:style>
  <w:style w:type="paragraph" w:styleId="2">
    <w:name w:val="Heading 2"/>
    <w:basedOn w:val="Style11"/>
    <w:next w:val="Style12"/>
    <w:qFormat/>
    <w:pPr>
      <w:spacing w:before="200" w:after="120"/>
      <w:outlineLvl w:val="1"/>
    </w:pPr>
    <w:rPr>
      <w:rFonts w:ascii="Liberation Serif" w:hAnsi="Liberation Serif" w:eastAsia="Segoe UI" w:cs="Tahoma"/>
      <w:b/>
      <w:bCs/>
      <w:sz w:val="36"/>
      <w:szCs w:val="36"/>
    </w:rPr>
  </w:style>
  <w:style w:type="paragraph" w:styleId="3">
    <w:name w:val="Heading 3"/>
    <w:basedOn w:val="Style11"/>
    <w:next w:val="Style12"/>
    <w:qFormat/>
    <w:pPr>
      <w:spacing w:before="140" w:after="120"/>
      <w:outlineLvl w:val="2"/>
    </w:pPr>
    <w:rPr>
      <w:rFonts w:ascii="Liberation Serif" w:hAnsi="Liberation Serif" w:eastAsia="Segoe UI" w:cs="Tahoma"/>
      <w:b/>
      <w:bCs/>
      <w:sz w:val="28"/>
      <w:szCs w:val="28"/>
    </w:rPr>
  </w:style>
  <w:style w:type="paragraph" w:styleId="5">
    <w:name w:val="Heading 5"/>
    <w:basedOn w:val="Normal"/>
    <w:next w:val="Normal"/>
    <w:link w:val="51"/>
    <w:uiPriority w:val="9"/>
    <w:unhideWhenUsed/>
    <w:qFormat/>
    <w:rsid w:val="00644db5"/>
    <w:pPr>
      <w:keepNext w:val="true"/>
      <w:keepLines/>
      <w:spacing w:before="40" w:after="0"/>
      <w:outlineLvl w:val="4"/>
    </w:pPr>
    <w:rPr>
      <w:rFonts w:ascii="Calibri Light" w:hAnsi="Calibri Light" w:eastAsia="" w:cs="" w:asciiTheme="majorHAnsi" w:cstheme="majorBidi" w:eastAsiaTheme="majorEastAsia" w:hAnsiTheme="majorHAnsi"/>
      <w:color w:val="2F5496" w:themeColor="accent1" w:themeShade="bf"/>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644db5"/>
    <w:rPr>
      <w:rFonts w:ascii="Times New Roman" w:hAnsi="Times New Roman" w:eastAsia="Times New Roman" w:cs="Times New Roman"/>
      <w:b/>
      <w:bCs/>
      <w:kern w:val="2"/>
      <w:sz w:val="48"/>
      <w:szCs w:val="48"/>
      <w:lang w:eastAsia="ru-RU"/>
      <w14:ligatures w14:val="none"/>
    </w:rPr>
  </w:style>
  <w:style w:type="character" w:styleId="51" w:customStyle="1">
    <w:name w:val="Заголовок 5 Знак"/>
    <w:basedOn w:val="DefaultParagraphFont"/>
    <w:uiPriority w:val="9"/>
    <w:qFormat/>
    <w:rsid w:val="00644db5"/>
    <w:rPr>
      <w:rFonts w:ascii="Calibri Light" w:hAnsi="Calibri Light" w:eastAsia="" w:cs="" w:asciiTheme="majorHAnsi" w:cstheme="majorBidi" w:eastAsiaTheme="majorEastAsia" w:hAnsiTheme="majorHAnsi"/>
      <w:color w:val="2F5496" w:themeColor="accent1" w:themeShade="bf"/>
    </w:rPr>
  </w:style>
  <w:style w:type="character" w:styleId="Style10">
    <w:name w:val="Выделение жирным"/>
    <w:qFormat/>
    <w:rPr>
      <w:b/>
      <w:bCs/>
    </w:rPr>
  </w:style>
  <w:style w:type="paragraph" w:styleId="Style11">
    <w:name w:val="Заголовок"/>
    <w:basedOn w:val="Normal"/>
    <w:next w:val="Style12"/>
    <w:qFormat/>
    <w:pPr>
      <w:keepNext w:val="true"/>
      <w:spacing w:before="240" w:after="120"/>
    </w:pPr>
    <w:rPr>
      <w:rFonts w:ascii="Liberation Sans" w:hAnsi="Liberation Sans" w:eastAsia="Microsoft YaHei" w:cs="Arial"/>
      <w:sz w:val="28"/>
      <w:szCs w:val="28"/>
    </w:rPr>
  </w:style>
  <w:style w:type="paragraph" w:styleId="Style12">
    <w:name w:val="Body Text"/>
    <w:basedOn w:val="Normal"/>
    <w:pPr>
      <w:spacing w:lineRule="auto" w:line="276" w:before="0" w:after="140"/>
    </w:pPr>
    <w:rPr/>
  </w:style>
  <w:style w:type="paragraph" w:styleId="Style13">
    <w:name w:val="List"/>
    <w:basedOn w:val="Style12"/>
    <w:pPr/>
    <w:rPr>
      <w:rFonts w:cs="Arial"/>
    </w:rPr>
  </w:style>
  <w:style w:type="paragraph" w:styleId="Style14">
    <w:name w:val="Caption"/>
    <w:basedOn w:val="Normal"/>
    <w:qFormat/>
    <w:pPr>
      <w:suppressLineNumbers/>
      <w:spacing w:before="120" w:after="120"/>
    </w:pPr>
    <w:rPr>
      <w:rFonts w:cs="Arial"/>
      <w:i/>
      <w:iCs/>
      <w:sz w:val="24"/>
      <w:szCs w:val="24"/>
    </w:rPr>
  </w:style>
  <w:style w:type="paragraph" w:styleId="Style15">
    <w:name w:val="Указатель"/>
    <w:basedOn w:val="Normal"/>
    <w:qFormat/>
    <w:pPr>
      <w:suppressLineNumbers/>
    </w:pPr>
    <w:rPr>
      <w:rFonts w:cs="Arial"/>
      <w:lang w:val="zxx" w:eastAsia="zxx" w:bidi="zxx"/>
    </w:rPr>
  </w:style>
  <w:style w:type="paragraph" w:styleId="NormalWeb">
    <w:name w:val="Normal (Web)"/>
    <w:basedOn w:val="Normal"/>
    <w:uiPriority w:val="99"/>
    <w:unhideWhenUsed/>
    <w:qFormat/>
    <w:rsid w:val="00644db5"/>
    <w:pPr>
      <w:spacing w:lineRule="auto" w:line="240" w:beforeAutospacing="1" w:afterAutospacing="1"/>
    </w:pPr>
    <w:rPr>
      <w:rFonts w:ascii="Times New Roman" w:hAnsi="Times New Roman" w:eastAsia="Times New Roman" w:cs="Times New Roman"/>
      <w:kern w:val="0"/>
      <w:sz w:val="24"/>
      <w:szCs w:val="24"/>
      <w:lang w:eastAsia="ru-RU"/>
      <w14:ligatures w14:val="none"/>
    </w:rPr>
  </w:style>
  <w:style w:type="paragraph" w:styleId="Style16">
    <w:name w:val="Содержимое таблицы"/>
    <w:basedOn w:val="Normal"/>
    <w:qFormat/>
    <w:pPr>
      <w:widowControl w:val="false"/>
      <w:suppressLineNumbers/>
    </w:pPr>
    <w:rPr/>
  </w:style>
  <w:style w:type="paragraph" w:styleId="Style17">
    <w:name w:val="Заголовок таблицы"/>
    <w:basedOn w:val="Style16"/>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Application>LibreOffice/7.3.5.2$Windows_X86_64 LibreOffice_project/184fe81b8c8c30d8b5082578aee2fed2ea847c01</Application>
  <AppVersion>15.0000</AppVersion>
  <Pages>2</Pages>
  <Words>323</Words>
  <Characters>1860</Characters>
  <CharactersWithSpaces>2182</CharactersWithSpaces>
  <Paragraphs>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2024-05-24T13:58:00Z</dcterms:created>
  <dc:creator>Наталья Справочное бюро</dc:creator>
  <dc:description/>
  <dc:language>ru-RU</dc:language>
  <cp:lastModifiedBy/>
  <dcterms:modified xsi:type="dcterms:W3CDTF">2026-10-01T15:37:22Z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