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cs="Arial" w:ascii="Times New Roman" w:hAnsi="Times New Roman"/>
          <w:b/>
          <w:bCs/>
          <w:color w:val="242424"/>
          <w:sz w:val="32"/>
          <w:szCs w:val="32"/>
          <w:shd w:fill="FFFFFF" w:val="clear"/>
        </w:rPr>
        <w:t>Зубная паста КЛАССИКА кедровая 150г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Зубная паста "Кедровая" содержит сбалансированный комплекс эффективных натуральных ингредиентов, предназначенныхдля укрепления зубов и дёсен.</w:t>
        <w:br/>
        <w:t>Кедровое масло оказывает эффективное лечебное действие на слизистую полости рта, стимулирует синтез соединительной ткани, улучшает кровообращение в деснах, является прекрасным природным антиоксидантом.</w:t>
        <w:br/>
        <w:t>Эфирное масло кедрового стланника способствует устранению воспалительных процессов в полости рта, ускоряет восстановление и ранозаживление пораженной десны и слизистой оболочки полости рта.</w:t>
        <w:br/>
        <w:t xml:space="preserve">Натуральное мятное масло обладает антисептическим и противовоспалительным действием, понижает чувствительность нервных окончаний, позволяя тщательно и безболезненно удалять микробный налет с зубов и десен. 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Активные ингредиенты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: 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Кедровое масло, масло кедрового стланика, мятное масло 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Состав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: 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Aqua, Calcium Carbonate, Sorbitol, Cellulose Gum, Sodium Lauryl Sulfate, Pinus Sibirica Du Tour Oil, Allantoin, Calcium Glycerophosphate, Sodium Saccharin, Pinus Pumila Regel Oil, Menta Piperita (Peppermint) Oil, Vanillin, Sodium Chloride, 2-Bromo-2-Nitropropane-1,3-Вiol, CI 19140 + CI 42090 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.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: ч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истите зубы 2-3 минуты не реже 2-х раз в день, регулярно посещайте стоматолога 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.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Дополнительная информация</w:t>
      </w: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 xml:space="preserve">: 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Нормативный документ: ГОСТ 7983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Условия хранения: от 0 °C до +25 °С</w:t>
      </w:r>
    </w:p>
    <w:p>
      <w:pPr>
        <w:pStyle w:val="Style14"/>
        <w:spacing w:lineRule="auto" w:line="240"/>
        <w:jc w:val="left"/>
        <w:rPr>
          <w:rFonts w:cs="Arial"/>
          <w:color w:val="242424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1</Pages>
  <Words>163</Words>
  <Characters>1189</Characters>
  <CharactersWithSpaces>1347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2022-12-20T16:55:50Z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