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Стевия Ультра Миг таблетки шипучие БАД 100мг №150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Область применения: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качестве биологически активной добавки к пище - натурального заменителя сахара, содержащей стевиолгликозиды. </w:t>
      </w:r>
      <w:r>
        <w:rPr>
          <w:rFonts w:ascii="Times New Roman" w:hAnsi="Times New Roman"/>
          <w:sz w:val="28"/>
          <w:szCs w:val="28"/>
        </w:rPr>
        <w:br/>
        <w:t>Биологически активная добавка к пище стевия ультра МИГ содержит 150 шипучих быстрорастворимых таблеток.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br/>
        <w:t>экстракт листьев стевии, регуляторы кислотности гидрокарбонат натрия и винная кислота, лактоза, носитель кальциевая соль стеариновой кислоты.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Взрослым по 3 таблетки 3 раза в день во время еды, предварительно растворив в чае. кофе или других напитках. Продолжительность приема — 2 месяца. При необходимости прием можно повторить через 10 дней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 xml:space="preserve">Индивидуальная непереносимость компонентов продукта, беременность, кормление грудью. </w:t>
      </w:r>
    </w:p>
    <w:p>
      <w:pPr>
        <w:pStyle w:val="3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Условия хранения:</w:t>
      </w:r>
    </w:p>
    <w:p>
      <w:pPr>
        <w:pStyle w:val="Style12"/>
        <w:spacing w:before="0" w:after="0"/>
        <w:rPr>
          <w:sz w:val="28"/>
          <w:szCs w:val="28"/>
        </w:rPr>
      </w:pPr>
      <w:r>
        <w:rPr>
          <w:sz w:val="28"/>
          <w:szCs w:val="28"/>
        </w:rPr>
        <w:t>Хранить в сухом, защищенном от света, недоступном для детей месте, при температуре не выше +25°С.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LibreOffice/7.0.6.2$Windows_X86_64 LibreOffice_project/144abb84a525d8e30c9dbbefa69cbbf2d8d4ae3b</Application>
  <AppVersion>15.0000</AppVersion>
  <Pages>1</Pages>
  <Words>113</Words>
  <Characters>782</Characters>
  <CharactersWithSpaces>893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2026-05-27T10:14:44Z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