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Деннкур таблетки для рассасывания БАДг упаковка №10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Рекомендован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качестве натурального ухода за полостью рта. Способствует поддержанию здоровья десен, зубов и свежего дыхания.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Дополнительное преимущество: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после всасывания в полость рта некоторое количество препарата Деннкур попадает в верхние дыхательные пути, что обеспечивает дополнительные преимущества при инфекциях горла, а также уменьшает симптомы кашля и простуды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Рекомендации к применению: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Взрослым по 1 таблетке 1 раз в день после еды.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Деннкур следует принимать после завтрака, предпочтительно после полоскания горла и чистки зубов щеткой.</w:t>
        <w:br/>
        <w:t>Таблетки следует медленно рассасывать до полного растворения в полости рта.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Предпочтительно избегать употребления любых твердых или жидких продуктов в течение 1 часа после приема таблеток.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Продолжительность приема – 1 месяц.</w:t>
        <w:br/>
        <w:t xml:space="preserve">При необходимости возможен повторный прием.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cs="Times New Roman" w:ascii="Times New Roman" w:hAnsi="Times New Roman"/>
          <w:sz w:val="28"/>
          <w:szCs w:val="28"/>
        </w:rPr>
        <w:t xml:space="preserve">Индивидуальная непереносимость компонентов БАД, беременность, кормление грудью. Перед применением рекомендуется проконсультироваться с врачом.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Условия отпуска: </w:t>
      </w:r>
      <w:r>
        <w:rPr>
          <w:rFonts w:cs="Times New Roman" w:ascii="Times New Roman" w:hAnsi="Times New Roman"/>
          <w:sz w:val="28"/>
          <w:szCs w:val="28"/>
        </w:rPr>
        <w:t xml:space="preserve">Через аптечную сеть. Не является лекарственным средством.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Хранить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сухом и недоступном для детей месте при температуре не выше 25ᵒ С. </w:t>
      </w:r>
    </w:p>
    <w:p>
      <w:pPr>
        <w:pStyle w:val="Style12"/>
        <w:spacing w:lineRule="auto" w:line="24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Срок годности: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 года с даты изготовления. Не использовать после истечения срока годности, указанного на упаковке. </w:t>
      </w:r>
    </w:p>
    <w:p>
      <w:pPr>
        <w:pStyle w:val="Style12"/>
        <w:spacing w:lineRule="auto" w:line="240" w:before="0" w:after="14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LibreOffice/7.3.5.2$Windows_X86_64 LibreOffice_project/184fe81b8c8c30d8b5082578aee2fed2ea847c01</Application>
  <AppVersion>15.0000</AppVersion>
  <Pages>1</Pages>
  <Words>166</Words>
  <Characters>1132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2026-05-08T14:23:09Z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