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Liposomal vitamin D3 + K2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(Липосомальный витамин Д3 +К2 капсулы 540мг №50». БАД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Область применения: в качестве биологически активной добавки к пище – дополнительного источника витамина D3, источника витамина К2. 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Состав: микрокристаллическая целлюлоза (носитель), желатиновая капсула (желатин), липосомальный холекальциферол, магниевая соль стеариновой кислоты (антислеживающий агент), менахинон.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Рекомендации по применению: принимать взрослым по 1 капсуле в день во время еды, запивая достаточным количеством воды. Продолжительность приема: 1 месяц. При необходимости прием БАД можно повторить. </w:t>
        <w:br/>
        <w:t xml:space="preserve">Перед применением рекомендуется проконсультироваться с врачом. </w:t>
        <w:br/>
        <w:t xml:space="preserve">Противопоказания: индивидуальная непереносимость компонентов, беременность, кормление грудью. </w:t>
        <w:br/>
        <w:t>Условия хранения: хранить в сухом, защищенном от попадания прямых солнечных лучей, недоступном для детей месте, при температуре не выше +25°С. После вскрытия банку хранить плотно закрытой при тех же условиях..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  <w:lang w:val="en-US"/>
        </w:rPr>
      </w:pPr>
      <w:r>
        <w:rPr>
          <w:rFonts w:ascii="Times New Roman" w:hAnsi="Times New Roman"/>
          <w:b w:val="false"/>
          <w:bCs w:val="false"/>
          <w:sz w:val="32"/>
          <w:szCs w:val="32"/>
          <w:lang w:val="en-US"/>
        </w:rPr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9"/>
    <w:next w:val="Style15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Application>LibreOffice/7.3.5.2$Windows_X86_64 LibreOffice_project/184fe81b8c8c30d8b5082578aee2fed2ea847c01</Application>
  <AppVersion>15.0000</AppVersion>
  <Pages>1</Pages>
  <Words>115</Words>
  <Characters>846</Characters>
  <CharactersWithSpaces>981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2025-06-26T08:50:51Z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