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2"/>
          <w:sz w:val="32"/>
          <w:szCs w:val="32"/>
          <w:lang w:eastAsia="ru-RU"/>
          <w14:ligatures w14:val="none"/>
        </w:rPr>
        <w:t>ТриглиКор капсулы БАД 1,45г уп №30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Рекомендуется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качестве биологически активной добавки к пище – дополнительного источника полиненасыщенных жирных кислот (ПНЖК) Омега-3, в т.ч. (эйкозапентаеновой, докозагексаеновой кислот), витамина E.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Омега-3 способствует: поддержанию функционального состояния сердечно-сосудистой системы, оказывает положительное влияние на уровень холестерина и триглицеридов, здоровье глаз, способствует улучшению цвета лица, замедлению процессов старения, укреплению волос и ногтей, принимает участие в поддержании иммунной системы.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Состав: </w:t>
      </w:r>
      <w:r>
        <w:rPr>
          <w:rFonts w:ascii="Times New Roman" w:hAnsi="Times New Roman"/>
          <w:sz w:val="28"/>
          <w:szCs w:val="28"/>
        </w:rPr>
        <w:t xml:space="preserve">рыбный жир, оболочка капсулы (желатин, глицерин (агент влагоудерживающий), DL-альфа-токоферола ацетат (витамин Е) 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Активный ингредиент (1 капсула): </w:t>
      </w:r>
      <w:r>
        <w:rPr>
          <w:rFonts w:ascii="Times New Roman" w:hAnsi="Times New Roman"/>
          <w:sz w:val="28"/>
          <w:szCs w:val="28"/>
        </w:rPr>
        <w:t>полиненасыщенные жирные кислоты (ПНЖК) Омега-3 1 000 мг, эйкозапентаеновая кислота 470 мг, докозагексаеновая кислота 380 мг, витамин Е 12 мг</w:t>
        <w:br/>
      </w:r>
      <w:r>
        <w:rPr>
          <w:rFonts w:ascii="Times New Roman" w:hAnsi="Times New Roman"/>
          <w:b/>
          <w:bCs/>
          <w:sz w:val="28"/>
          <w:szCs w:val="28"/>
        </w:rPr>
        <w:br/>
        <w:t>Рекомендации по применению:</w:t>
      </w:r>
      <w:r>
        <w:rPr>
          <w:rFonts w:ascii="Times New Roman" w:hAnsi="Times New Roman"/>
          <w:sz w:val="28"/>
          <w:szCs w:val="28"/>
        </w:rPr>
        <w:t xml:space="preserve"> взрослым по 1 -2 капсулы в день во время еды. Продолжительность приема - 1 месяц. При необходимости прием можно повторить.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Противопоказания:</w:t>
      </w:r>
      <w:r>
        <w:rPr>
          <w:rFonts w:ascii="Times New Roman" w:hAnsi="Times New Roman"/>
          <w:sz w:val="28"/>
          <w:szCs w:val="28"/>
        </w:rPr>
        <w:t xml:space="preserve"> индивидуальная непереносимость компонентов. Перед применением рекомендуется проконсультироваться с врачом.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Условия хранения:</w:t>
      </w:r>
      <w:r>
        <w:rPr>
          <w:rFonts w:ascii="Times New Roman" w:hAnsi="Times New Roman"/>
          <w:sz w:val="28"/>
          <w:szCs w:val="28"/>
        </w:rPr>
        <w:t xml:space="preserve"> хранить в сухом, защищенном от света и недоступном для детей месте при температуре не выше 25°С.</w:t>
        <w:br/>
        <w:b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9"/>
    <w:qFormat/>
    <w:rsid w:val="00644db5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Style11"/>
    <w:next w:val="Style12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5">
    <w:name w:val="Heading 5"/>
    <w:basedOn w:val="Normal"/>
    <w:next w:val="Normal"/>
    <w:link w:val="51"/>
    <w:uiPriority w:val="9"/>
    <w:unhideWhenUsed/>
    <w:qFormat/>
    <w:rsid w:val="00644db5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44db5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character" w:styleId="51" w:customStyle="1">
    <w:name w:val="Заголовок 5 Знак"/>
    <w:basedOn w:val="DefaultParagraphFont"/>
    <w:uiPriority w:val="9"/>
    <w:qFormat/>
    <w:rsid w:val="00644db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Style10">
    <w:name w:val="Выделение жирным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644db5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Application>LibreOffice/7.3.5.2$Windows_X86_64 LibreOffice_project/184fe81b8c8c30d8b5082578aee2fed2ea847c01</Application>
  <AppVersion>15.0000</AppVersion>
  <Pages>1</Pages>
  <Words>150</Words>
  <Characters>1093</Characters>
  <CharactersWithSpaces>1243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2024-05-24T13:58:00Z</dcterms:created>
  <dc:creator>Наталья Справочное бюро</dc:creator>
  <dc:description/>
  <dc:language>ru-RU</dc:language>
  <cp:lastModifiedBy/>
  <dcterms:modified xsi:type="dcterms:W3CDTF">2026-10-08T16:59:54Z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