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97350" w14:textId="77777777" w:rsidR="00B17DF2" w:rsidRPr="00B17DF2" w:rsidRDefault="00B17DF2" w:rsidP="00B17D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B17D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ZEST POZITIV / </w:t>
      </w:r>
      <w:proofErr w:type="spellStart"/>
      <w:r w:rsidRPr="00B17D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Зест</w:t>
      </w:r>
      <w:proofErr w:type="spellEnd"/>
      <w:r w:rsidRPr="00B17DF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Позитив таблетки БАД упаковка №14</w:t>
      </w:r>
    </w:p>
    <w:p w14:paraId="3ECAB4F3" w14:textId="77777777" w:rsidR="00B17DF2" w:rsidRDefault="00B17DF2" w:rsidP="00B1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DF2">
        <w:rPr>
          <w:rFonts w:ascii="Times New Roman" w:hAnsi="Times New Roman" w:cs="Times New Roman"/>
          <w:sz w:val="28"/>
          <w:szCs w:val="28"/>
        </w:rPr>
        <w:t xml:space="preserve">Область применения: в качестве биологически активной добавки к пище, является источником L-триптофана, витамина РР и В6, содержит сухой экстракт </w:t>
      </w:r>
      <w:proofErr w:type="spellStart"/>
      <w:r w:rsidRPr="00B17DF2">
        <w:rPr>
          <w:rFonts w:ascii="Times New Roman" w:hAnsi="Times New Roman" w:cs="Times New Roman"/>
          <w:sz w:val="28"/>
          <w:szCs w:val="28"/>
        </w:rPr>
        <w:t>Гриффонии</w:t>
      </w:r>
      <w:proofErr w:type="spellEnd"/>
      <w:r w:rsidRPr="00B17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DF2">
        <w:rPr>
          <w:rFonts w:ascii="Times New Roman" w:hAnsi="Times New Roman" w:cs="Times New Roman"/>
          <w:sz w:val="28"/>
          <w:szCs w:val="28"/>
        </w:rPr>
        <w:t>простолистной</w:t>
      </w:r>
      <w:proofErr w:type="spellEnd"/>
      <w:r w:rsidRPr="00B17D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7DF2">
        <w:rPr>
          <w:rFonts w:ascii="Times New Roman" w:hAnsi="Times New Roman" w:cs="Times New Roman"/>
          <w:sz w:val="28"/>
          <w:szCs w:val="28"/>
        </w:rPr>
        <w:t>Griffonia</w:t>
      </w:r>
      <w:proofErr w:type="spellEnd"/>
      <w:r w:rsidRPr="00B17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DF2">
        <w:rPr>
          <w:rFonts w:ascii="Times New Roman" w:hAnsi="Times New Roman" w:cs="Times New Roman"/>
          <w:sz w:val="28"/>
          <w:szCs w:val="28"/>
        </w:rPr>
        <w:t>simplicifolia</w:t>
      </w:r>
      <w:proofErr w:type="spellEnd"/>
      <w:r w:rsidRPr="00B17DF2">
        <w:rPr>
          <w:rFonts w:ascii="Times New Roman" w:hAnsi="Times New Roman" w:cs="Times New Roman"/>
          <w:sz w:val="28"/>
          <w:szCs w:val="28"/>
        </w:rPr>
        <w:t xml:space="preserve">) для предотвращения перепадов настроения и обеспечения стабильного эмоционального состояния, снижения уровня тревожности, раздраженности и возбуждения, поддержки концентрации внимания и здорового сна в случае нехватки серотонина и/или мелатонина, при необходимости в повышении </w:t>
      </w:r>
      <w:proofErr w:type="spellStart"/>
      <w:r w:rsidRPr="00B17DF2">
        <w:rPr>
          <w:rFonts w:ascii="Times New Roman" w:hAnsi="Times New Roman" w:cs="Times New Roman"/>
          <w:sz w:val="28"/>
          <w:szCs w:val="28"/>
        </w:rPr>
        <w:t>стресоустойчивости</w:t>
      </w:r>
      <w:proofErr w:type="spellEnd"/>
      <w:r w:rsidRPr="00B17DF2">
        <w:rPr>
          <w:rFonts w:ascii="Times New Roman" w:hAnsi="Times New Roman" w:cs="Times New Roman"/>
          <w:sz w:val="28"/>
          <w:szCs w:val="28"/>
        </w:rPr>
        <w:t xml:space="preserve"> организма. ЗЕСТ ПОЗИТИВ / ZEST® POZITIV способствует улучшению настроения, спокойствия и уверенности.</w:t>
      </w:r>
    </w:p>
    <w:p w14:paraId="51C475FD" w14:textId="77777777" w:rsidR="00B17DF2" w:rsidRDefault="00B17DF2" w:rsidP="00B1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9B3725" w14:textId="77777777" w:rsidR="00B17DF2" w:rsidRDefault="00B17DF2" w:rsidP="00B1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DF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B17DF2">
        <w:rPr>
          <w:rFonts w:ascii="Times New Roman" w:hAnsi="Times New Roman" w:cs="Times New Roman"/>
          <w:sz w:val="28"/>
          <w:szCs w:val="28"/>
        </w:rPr>
        <w:t xml:space="preserve">: 1 трехслойная таблетка содержит активные вещества: L-триптофан – 250 мг, сухой экстракт </w:t>
      </w:r>
      <w:proofErr w:type="spellStart"/>
      <w:r w:rsidRPr="00B17DF2">
        <w:rPr>
          <w:rFonts w:ascii="Times New Roman" w:hAnsi="Times New Roman" w:cs="Times New Roman"/>
          <w:sz w:val="28"/>
          <w:szCs w:val="28"/>
        </w:rPr>
        <w:t>Гриффонии</w:t>
      </w:r>
      <w:proofErr w:type="spellEnd"/>
      <w:r w:rsidRPr="00B17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DF2">
        <w:rPr>
          <w:rFonts w:ascii="Times New Roman" w:hAnsi="Times New Roman" w:cs="Times New Roman"/>
          <w:sz w:val="28"/>
          <w:szCs w:val="28"/>
        </w:rPr>
        <w:t>простолистной</w:t>
      </w:r>
      <w:proofErr w:type="spellEnd"/>
      <w:r w:rsidRPr="00B17D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7DF2">
        <w:rPr>
          <w:rFonts w:ascii="Times New Roman" w:hAnsi="Times New Roman" w:cs="Times New Roman"/>
          <w:sz w:val="28"/>
          <w:szCs w:val="28"/>
        </w:rPr>
        <w:t>Griffonia</w:t>
      </w:r>
      <w:proofErr w:type="spellEnd"/>
      <w:r w:rsidRPr="00B17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DF2">
        <w:rPr>
          <w:rFonts w:ascii="Times New Roman" w:hAnsi="Times New Roman" w:cs="Times New Roman"/>
          <w:sz w:val="28"/>
          <w:szCs w:val="28"/>
        </w:rPr>
        <w:t>simplicifolia</w:t>
      </w:r>
      <w:proofErr w:type="spellEnd"/>
      <w:r w:rsidRPr="00B17DF2">
        <w:rPr>
          <w:rFonts w:ascii="Times New Roman" w:hAnsi="Times New Roman" w:cs="Times New Roman"/>
          <w:sz w:val="28"/>
          <w:szCs w:val="28"/>
        </w:rPr>
        <w:t xml:space="preserve">) – 50 мг, никотинамид (витамин РР) – 9 мг, пиридоксина гидрохлорид (витамин В6) – 1 мг; вспомогательные вещества: носители: целлюлоза микрокристаллическая, </w:t>
      </w:r>
      <w:proofErr w:type="spellStart"/>
      <w:r w:rsidRPr="00B17DF2">
        <w:rPr>
          <w:rFonts w:ascii="Times New Roman" w:hAnsi="Times New Roman" w:cs="Times New Roman"/>
          <w:sz w:val="28"/>
          <w:szCs w:val="28"/>
        </w:rPr>
        <w:t>дикальция</w:t>
      </w:r>
      <w:proofErr w:type="spellEnd"/>
      <w:r w:rsidRPr="00B17DF2">
        <w:rPr>
          <w:rFonts w:ascii="Times New Roman" w:hAnsi="Times New Roman" w:cs="Times New Roman"/>
          <w:sz w:val="28"/>
          <w:szCs w:val="28"/>
        </w:rPr>
        <w:t xml:space="preserve"> фосфат, </w:t>
      </w:r>
      <w:proofErr w:type="spellStart"/>
      <w:r w:rsidRPr="00B17DF2">
        <w:rPr>
          <w:rFonts w:ascii="Times New Roman" w:hAnsi="Times New Roman" w:cs="Times New Roman"/>
          <w:sz w:val="28"/>
          <w:szCs w:val="28"/>
        </w:rPr>
        <w:t>гидроксипропилметилцеллюлоза</w:t>
      </w:r>
      <w:proofErr w:type="spellEnd"/>
      <w:r w:rsidRPr="00B17DF2">
        <w:rPr>
          <w:rFonts w:ascii="Times New Roman" w:hAnsi="Times New Roman" w:cs="Times New Roman"/>
          <w:sz w:val="28"/>
          <w:szCs w:val="28"/>
        </w:rPr>
        <w:t xml:space="preserve">, стабилизатор: </w:t>
      </w:r>
      <w:proofErr w:type="spellStart"/>
      <w:r w:rsidRPr="00B17DF2">
        <w:rPr>
          <w:rFonts w:ascii="Times New Roman" w:hAnsi="Times New Roman" w:cs="Times New Roman"/>
          <w:sz w:val="28"/>
          <w:szCs w:val="28"/>
        </w:rPr>
        <w:t>поливинилпирролидон</w:t>
      </w:r>
      <w:proofErr w:type="spellEnd"/>
      <w:r w:rsidRPr="00B17DF2">
        <w:rPr>
          <w:rFonts w:ascii="Times New Roman" w:hAnsi="Times New Roman" w:cs="Times New Roman"/>
          <w:sz w:val="28"/>
          <w:szCs w:val="28"/>
        </w:rPr>
        <w:t xml:space="preserve">, агент </w:t>
      </w:r>
      <w:proofErr w:type="spellStart"/>
      <w:r w:rsidRPr="00B17DF2">
        <w:rPr>
          <w:rFonts w:ascii="Times New Roman" w:hAnsi="Times New Roman" w:cs="Times New Roman"/>
          <w:sz w:val="28"/>
          <w:szCs w:val="28"/>
        </w:rPr>
        <w:t>антислеживающий</w:t>
      </w:r>
      <w:proofErr w:type="spellEnd"/>
      <w:r w:rsidRPr="00B17DF2">
        <w:rPr>
          <w:rFonts w:ascii="Times New Roman" w:hAnsi="Times New Roman" w:cs="Times New Roman"/>
          <w:sz w:val="28"/>
          <w:szCs w:val="28"/>
        </w:rPr>
        <w:t xml:space="preserve">: магниевые соли жирных кислот, стабилизаторы: </w:t>
      </w:r>
      <w:proofErr w:type="spellStart"/>
      <w:r w:rsidRPr="00B17DF2">
        <w:rPr>
          <w:rFonts w:ascii="Times New Roman" w:hAnsi="Times New Roman" w:cs="Times New Roman"/>
          <w:sz w:val="28"/>
          <w:szCs w:val="28"/>
        </w:rPr>
        <w:t>карбоксиметилцеллюлоза</w:t>
      </w:r>
      <w:proofErr w:type="spellEnd"/>
      <w:r w:rsidRPr="00B17D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7DF2">
        <w:rPr>
          <w:rFonts w:ascii="Times New Roman" w:hAnsi="Times New Roman" w:cs="Times New Roman"/>
          <w:sz w:val="28"/>
          <w:szCs w:val="28"/>
        </w:rPr>
        <w:t>поливинилполипирролидон</w:t>
      </w:r>
      <w:proofErr w:type="spellEnd"/>
      <w:r w:rsidRPr="00B17DF2">
        <w:rPr>
          <w:rFonts w:ascii="Times New Roman" w:hAnsi="Times New Roman" w:cs="Times New Roman"/>
          <w:sz w:val="28"/>
          <w:szCs w:val="28"/>
        </w:rPr>
        <w:t xml:space="preserve">, агенты </w:t>
      </w:r>
      <w:proofErr w:type="spellStart"/>
      <w:r w:rsidRPr="00B17DF2">
        <w:rPr>
          <w:rFonts w:ascii="Times New Roman" w:hAnsi="Times New Roman" w:cs="Times New Roman"/>
          <w:sz w:val="28"/>
          <w:szCs w:val="28"/>
        </w:rPr>
        <w:t>антислеживающие</w:t>
      </w:r>
      <w:proofErr w:type="spellEnd"/>
      <w:r w:rsidRPr="00B17DF2">
        <w:rPr>
          <w:rFonts w:ascii="Times New Roman" w:hAnsi="Times New Roman" w:cs="Times New Roman"/>
          <w:sz w:val="28"/>
          <w:szCs w:val="28"/>
        </w:rPr>
        <w:t xml:space="preserve">: тальк, диоксид кремния, краситель: индигокармин. Без ГМО. </w:t>
      </w:r>
    </w:p>
    <w:p w14:paraId="0D69D438" w14:textId="77777777" w:rsidR="00B17DF2" w:rsidRDefault="00B17DF2" w:rsidP="00B1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9F5B47" w14:textId="77777777" w:rsidR="00B17DF2" w:rsidRDefault="00B17DF2" w:rsidP="00B1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DF2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B17DF2">
        <w:rPr>
          <w:rFonts w:ascii="Times New Roman" w:hAnsi="Times New Roman" w:cs="Times New Roman"/>
          <w:sz w:val="28"/>
          <w:szCs w:val="28"/>
        </w:rPr>
        <w:t xml:space="preserve">: принимать взрослым по 1 таблетке 1 раз в сутки утром после приема пищи, запивая стаканом воды. При необходимости дозировку можно увеличить до 2 таблеток в сутки. </w:t>
      </w:r>
    </w:p>
    <w:p w14:paraId="15475A08" w14:textId="77777777" w:rsidR="00B17DF2" w:rsidRDefault="00B17DF2" w:rsidP="00B1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DF2">
        <w:rPr>
          <w:rFonts w:ascii="Times New Roman" w:hAnsi="Times New Roman" w:cs="Times New Roman"/>
          <w:sz w:val="28"/>
          <w:szCs w:val="28"/>
        </w:rPr>
        <w:t xml:space="preserve">Не превышать рекомендованную суточную дозу. Не стоит использовать как заменитель полноценного рациона питания. </w:t>
      </w:r>
    </w:p>
    <w:p w14:paraId="0892AFF7" w14:textId="77777777" w:rsidR="00B17DF2" w:rsidRDefault="00B17DF2" w:rsidP="00B1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DF2">
        <w:rPr>
          <w:rFonts w:ascii="Times New Roman" w:hAnsi="Times New Roman" w:cs="Times New Roman"/>
          <w:sz w:val="28"/>
          <w:szCs w:val="28"/>
        </w:rPr>
        <w:t xml:space="preserve">Продолжительность приема: 1 месяц. Необходимость повторного курса определяет врач индивидуально. </w:t>
      </w:r>
    </w:p>
    <w:p w14:paraId="6A90054D" w14:textId="77777777" w:rsidR="00B17DF2" w:rsidRDefault="00B17DF2" w:rsidP="00B1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813DA" w14:textId="77777777" w:rsidR="00B17DF2" w:rsidRDefault="00B17DF2" w:rsidP="00B1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DF2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B17DF2">
        <w:rPr>
          <w:rFonts w:ascii="Times New Roman" w:hAnsi="Times New Roman" w:cs="Times New Roman"/>
          <w:sz w:val="28"/>
          <w:szCs w:val="28"/>
        </w:rPr>
        <w:t xml:space="preserve">: повышенная чувствительность к компонентам. </w:t>
      </w:r>
    </w:p>
    <w:p w14:paraId="1A3C43AA" w14:textId="7E755418" w:rsidR="006A0C8D" w:rsidRPr="00B17DF2" w:rsidRDefault="00B17DF2" w:rsidP="00B1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DF2">
        <w:rPr>
          <w:rFonts w:ascii="Times New Roman" w:hAnsi="Times New Roman" w:cs="Times New Roman"/>
          <w:sz w:val="28"/>
          <w:szCs w:val="28"/>
        </w:rPr>
        <w:t>При одновременном применении с другими лекарственными средствами рекомендуется предварительная консультация врача.</w:t>
      </w:r>
    </w:p>
    <w:sectPr w:rsidR="006A0C8D" w:rsidRPr="00B1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4C"/>
    <w:rsid w:val="002D5CF3"/>
    <w:rsid w:val="006A0C8D"/>
    <w:rsid w:val="00B17DF2"/>
    <w:rsid w:val="00F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3931"/>
  <w15:chartTrackingRefBased/>
  <w15:docId w15:val="{DF820354-E599-48B7-987F-609C94A4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D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2024-06-12T13:11:00Z</dcterms:created>
  <dcterms:modified xsi:type="dcterms:W3CDTF">2024-06-12T13:19:00Z</dcterms:modified>
</cp:coreProperties>
</file>