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numPr>
          <w:ilvl w:val="0"/>
          <w:numId w:val="0"/>
        </w:numPr>
        <w:spacing w:lineRule="auto" w:line="240" w:beforeAutospacing="1" w:afterAutospacing="1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kern w:val="2"/>
          <w:sz w:val="32"/>
          <w:szCs w:val="32"/>
          <w:lang w:eastAsia="ru-RU"/>
        </w:rPr>
      </w:pPr>
      <w:r>
        <w:rPr>
          <w:rFonts w:eastAsia="Times New Roman" w:cs="Times New Roman"/>
          <w:b/>
          <w:bCs/>
          <w:kern w:val="2"/>
          <w:sz w:val="32"/>
          <w:szCs w:val="32"/>
          <w:lang w:eastAsia="ru-RU"/>
        </w:rPr>
        <w:t>Витамин В12 таблетки БАД 100мг №60</w:t>
      </w:r>
    </w:p>
    <w:p>
      <w:pPr>
        <w:pStyle w:val="Style12"/>
        <w:numPr>
          <w:ilvl w:val="0"/>
          <w:numId w:val="0"/>
        </w:numPr>
        <w:spacing w:lineRule="auto" w:line="240" w:beforeAutospacing="1" w:after="0"/>
        <w:ind w:left="0" w:hanging="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Рекомендуется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 в качестве биологически активной добавки к пище - дополнительного источника  витамина В12. Входящие в состав компоненты БАД способствуют: поддержке работы нервной системы, улучшению памяти, формированию клеток крови.</w:t>
      </w:r>
    </w:p>
    <w:p>
      <w:pPr>
        <w:pStyle w:val="Style12"/>
        <w:numPr>
          <w:ilvl w:val="0"/>
          <w:numId w:val="0"/>
        </w:numPr>
        <w:spacing w:lineRule="auto" w:line="240" w:beforeAutospacing="1" w:after="0"/>
        <w:ind w:left="0" w:hanging="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Состав:</w:t>
      </w:r>
    </w:p>
    <w:p>
      <w:pPr>
        <w:pStyle w:val="Style12"/>
        <w:numPr>
          <w:ilvl w:val="0"/>
          <w:numId w:val="0"/>
        </w:numPr>
        <w:spacing w:lineRule="auto" w:line="240" w:beforeAutospacing="1" w:after="0"/>
        <w:ind w:left="0" w:hanging="0"/>
        <w:jc w:val="left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Лактоза, цианокобаламин (витамин В12), стеариновая кислота (стабилизатор). </w:t>
      </w:r>
    </w:p>
    <w:p>
      <w:pPr>
        <w:pStyle w:val="Style12"/>
        <w:numPr>
          <w:ilvl w:val="0"/>
          <w:numId w:val="0"/>
        </w:numPr>
        <w:spacing w:lineRule="auto" w:line="240" w:beforeAutospacing="1" w:after="0"/>
        <w:ind w:left="0" w:hanging="0"/>
        <w:jc w:val="left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8"/>
        <w:gridCol w:w="3118"/>
        <w:gridCol w:w="3119"/>
      </w:tblGrid>
      <w:tr>
        <w:trPr/>
        <w:tc>
          <w:tcPr>
            <w:tcW w:w="3118" w:type="dxa"/>
            <w:tcBorders/>
          </w:tcPr>
          <w:p>
            <w:pPr>
              <w:pStyle w:val="Style16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КОМПОНЕНТ</w:t>
            </w:r>
          </w:p>
        </w:tc>
        <w:tc>
          <w:tcPr>
            <w:tcW w:w="3118" w:type="dxa"/>
            <w:tcBorders/>
          </w:tcPr>
          <w:p>
            <w:pPr>
              <w:pStyle w:val="Style16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СОДЕРЖАНИЕ В 1 ТАБЛЕТКЕ</w:t>
            </w:r>
          </w:p>
        </w:tc>
        <w:tc>
          <w:tcPr>
            <w:tcW w:w="3119" w:type="dxa"/>
            <w:tcBorders/>
          </w:tcPr>
          <w:p>
            <w:pPr>
              <w:pStyle w:val="Style16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СУТОЧНАЯ ДОЗА (1 ТАБЛЕТКА) СОДЕРЖИТ</w:t>
            </w:r>
          </w:p>
        </w:tc>
      </w:tr>
      <w:tr>
        <w:trPr/>
        <w:tc>
          <w:tcPr>
            <w:tcW w:w="3118" w:type="dxa"/>
            <w:tcBorders/>
          </w:tcPr>
          <w:p>
            <w:pPr>
              <w:pStyle w:val="Style16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3118" w:type="dxa"/>
            <w:tcBorders/>
          </w:tcPr>
          <w:p>
            <w:pPr>
              <w:pStyle w:val="Style16"/>
              <w:widowControl w:val="false"/>
              <w:spacing w:before="0" w:after="160"/>
              <w:rPr>
                <w:rFonts w:ascii="Times New Roman" w:hAnsi="Times New Roman"/>
                <w:b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3119" w:type="dxa"/>
            <w:tcBorders/>
          </w:tcPr>
          <w:p>
            <w:pPr>
              <w:pStyle w:val="Style16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 рекомендуемого уровня суточного потребления</w:t>
            </w:r>
          </w:p>
        </w:tc>
      </w:tr>
      <w:tr>
        <w:trPr/>
        <w:tc>
          <w:tcPr>
            <w:tcW w:w="3118" w:type="dxa"/>
            <w:tcBorders/>
          </w:tcPr>
          <w:p>
            <w:pPr>
              <w:pStyle w:val="Style16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Витамин В12</w:t>
            </w:r>
          </w:p>
        </w:tc>
        <w:tc>
          <w:tcPr>
            <w:tcW w:w="3118" w:type="dxa"/>
            <w:tcBorders/>
          </w:tcPr>
          <w:p>
            <w:pPr>
              <w:pStyle w:val="Style16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– 9 мкг</w:t>
            </w:r>
          </w:p>
        </w:tc>
        <w:tc>
          <w:tcPr>
            <w:tcW w:w="3119" w:type="dxa"/>
            <w:tcBorders/>
          </w:tcPr>
          <w:p>
            <w:pPr>
              <w:pStyle w:val="Style16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700 – 900</w:t>
            </w:r>
          </w:p>
        </w:tc>
      </w:tr>
    </w:tbl>
    <w:p>
      <w:pPr>
        <w:pStyle w:val="Style12"/>
        <w:numPr>
          <w:ilvl w:val="0"/>
          <w:numId w:val="0"/>
        </w:numPr>
        <w:spacing w:lineRule="auto" w:line="240" w:beforeAutospacing="1" w:after="0"/>
        <w:ind w:left="0" w:hanging="0"/>
        <w:jc w:val="left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position w:val="9"/>
          <w:sz w:val="28"/>
          <w:szCs w:val="28"/>
          <w:lang w:eastAsia="ru-RU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 — согласно «Единым санитарно-эпидемиологическим и гигиеническим требованиям к товарам, подлежащим санитарно-эпидемиологическому надзору (контролю)» (Глава II, раздел 1, Приложение 5).</w:t>
      </w:r>
    </w:p>
    <w:p>
      <w:pPr>
        <w:pStyle w:val="Style12"/>
        <w:numPr>
          <w:ilvl w:val="0"/>
          <w:numId w:val="0"/>
        </w:numPr>
        <w:spacing w:lineRule="auto" w:line="240" w:beforeAutospacing="1" w:after="0"/>
        <w:ind w:left="0" w:hanging="0"/>
        <w:jc w:val="left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Взрослым по 1 таблетке 1 раз в день во время еды. Продолжительность приема –1 месяц. При необходимости прием можно повторить через месяц. </w:t>
      </w:r>
    </w:p>
    <w:p>
      <w:pPr>
        <w:pStyle w:val="Style12"/>
        <w:numPr>
          <w:ilvl w:val="0"/>
          <w:numId w:val="0"/>
        </w:numPr>
        <w:spacing w:lineRule="auto" w:line="240" w:beforeAutospacing="1" w:after="0"/>
        <w:ind w:left="0" w:hanging="0"/>
        <w:jc w:val="left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/>
      </w:r>
    </w:p>
    <w:p>
      <w:pPr>
        <w:pStyle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Противопоказания:</w:t>
      </w:r>
    </w:p>
    <w:p>
      <w:pPr>
        <w:pStyle w:val="Style12"/>
        <w:numPr>
          <w:ilvl w:val="0"/>
          <w:numId w:val="0"/>
        </w:numPr>
        <w:spacing w:lineRule="auto" w:line="240" w:beforeAutospacing="1" w:after="0"/>
        <w:ind w:left="0" w:hanging="0"/>
        <w:jc w:val="left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Индивидуальная непереносимость компонентов продукта, беременность, кормление грудью. Перед применением рекомендуется проконсультироваться с врачом. </w:t>
      </w:r>
    </w:p>
    <w:p>
      <w:pPr>
        <w:pStyle w:val="Style12"/>
        <w:numPr>
          <w:ilvl w:val="0"/>
          <w:numId w:val="0"/>
        </w:numPr>
        <w:spacing w:lineRule="auto" w:line="240" w:beforeAutospacing="1" w:after="0"/>
        <w:ind w:left="0" w:hanging="0"/>
        <w:jc w:val="left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>Хранение: хранить в недоступном для детей месте, при температуре не выше 25С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vertAlign w:val="superscript"/>
          <w:lang w:eastAsia="ru-RU"/>
        </w:rPr>
        <w:t>0</w:t>
      </w:r>
      <w:r>
        <w:rPr>
          <w:rFonts w:eastAsia="Times New Roman" w:cs="Times New Roman" w:ascii="Times New Roman" w:hAnsi="Times New Roman"/>
          <w:b w:val="false"/>
          <w:bCs w:val="false"/>
          <w:position w:val="0"/>
          <w:sz w:val="28"/>
          <w:sz w:val="28"/>
          <w:szCs w:val="28"/>
          <w:vertAlign w:val="baseline"/>
          <w:lang w:eastAsia="ru-RU"/>
        </w:rPr>
        <w:t>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11"/>
    <w:next w:val="Style12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2">
    <w:name w:val="Heading 2"/>
    <w:basedOn w:val="Style11"/>
    <w:next w:val="Style12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paragraph" w:styleId="3">
    <w:name w:val="Heading 3"/>
    <w:basedOn w:val="Style11"/>
    <w:next w:val="Style12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Application>LibreOffice/7.3.5.2$Windows_X86_64 LibreOffice_project/184fe81b8c8c30d8b5082578aee2fed2ea847c01</Application>
  <AppVersion>15.0000</AppVersion>
  <Pages>1</Pages>
  <Words>132</Words>
  <Characters>941</Characters>
  <CharactersWithSpaces>1063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2021-07-30T05:09:00Z</dcterms:created>
  <dc:creator>Надежда Иванчикова</dc:creator>
  <dc:description/>
  <dc:language>ru-RU</dc:language>
  <cp:lastModifiedBy/>
  <dcterms:modified xsi:type="dcterms:W3CDTF">2026-07-23T14:48:13Z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