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Нейроспан Форте комплекс для нервных волокон капсулы БАД 420мг №30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Рекомендуется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>в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качестве биологически активной добавки к пище - дополнительного источника витаминов В1, В6, В12 и фолиевой кислоты, источника холина, содержащей натриевую соль уридинмонофосфата. </w:t>
        <w:br/>
        <w:t>БАД, не является лекарственным средством.</w:t>
      </w:r>
    </w:p>
    <w:p>
      <w:pPr>
        <w:pStyle w:val="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Состав:</w:t>
      </w:r>
    </w:p>
    <w:p>
      <w:pPr>
        <w:pStyle w:val="Style13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Микрокристаллическая целлюлоза (носитель), уридин-5-монофосфат динатриевая соль, холина битартрат (холин /витамин В4), гидроксипропилметилцеллюлоза (носитель), магниевая соль стеариновой кислоты (агент антислеживающий), пиридоксина гидрохлорид (витамин В6), тиамина гидрохлорид (витамин В1), цианокобаламин (витамин В12), фолиевая кислота, </w:t>
      </w:r>
      <w:r>
        <w:rPr>
          <w:rFonts w:ascii="Times New Roman" w:hAnsi="Times New Roman"/>
          <w:i/>
          <w:sz w:val="28"/>
          <w:szCs w:val="28"/>
        </w:rPr>
        <w:t>оболочка таблетки:</w:t>
      </w:r>
      <w:r>
        <w:rPr>
          <w:rFonts w:ascii="Times New Roman" w:hAnsi="Times New Roman"/>
          <w:sz w:val="28"/>
          <w:szCs w:val="28"/>
        </w:rPr>
        <w:t xml:space="preserve"> гидроксипропилметилцеллюлоза (загуститель), полиэтиленгликоль (стабилизатор), диоксид титана (краситель).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8"/>
        <w:gridCol w:w="3118"/>
        <w:gridCol w:w="3119"/>
      </w:tblGrid>
      <w:tr>
        <w:trPr/>
        <w:tc>
          <w:tcPr>
            <w:tcW w:w="3118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Компонент </w:t>
            </w:r>
          </w:p>
        </w:tc>
        <w:tc>
          <w:tcPr>
            <w:tcW w:w="3118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Количество</w:t>
            </w:r>
          </w:p>
        </w:tc>
        <w:tc>
          <w:tcPr>
            <w:tcW w:w="3119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% от рекомендуемого</w:t>
            </w:r>
            <w:r>
              <w:rPr>
                <w:rFonts w:ascii="Times New Roman" w:hAnsi="Times New Roman"/>
                <w:b/>
                <w:bCs/>
                <w:position w:val="9"/>
                <w:sz w:val="22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/ адекватного</w:t>
            </w:r>
            <w:r>
              <w:rPr>
                <w:rFonts w:ascii="Times New Roman" w:hAnsi="Times New Roman"/>
                <w:b/>
                <w:bCs/>
                <w:position w:val="9"/>
                <w:sz w:val="22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уровня суточного потребления 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Style17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Витамин В1 </w:t>
            </w:r>
          </w:p>
        </w:tc>
        <w:tc>
          <w:tcPr>
            <w:tcW w:w="3118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мг</w:t>
            </w:r>
          </w:p>
        </w:tc>
        <w:tc>
          <w:tcPr>
            <w:tcW w:w="3119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286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1*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Style17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Витамин В6 </w:t>
            </w:r>
          </w:p>
        </w:tc>
        <w:tc>
          <w:tcPr>
            <w:tcW w:w="3118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мг</w:t>
            </w:r>
          </w:p>
        </w:tc>
        <w:tc>
          <w:tcPr>
            <w:tcW w:w="3119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1*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Style17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Витамин В12 </w:t>
            </w:r>
          </w:p>
        </w:tc>
        <w:tc>
          <w:tcPr>
            <w:tcW w:w="3118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3,6 </w:t>
            </w:r>
            <w:r>
              <w:rPr>
                <w:rFonts w:ascii="Times New Roman" w:hAnsi="Times New Roman"/>
                <w:sz w:val="28"/>
                <w:szCs w:val="28"/>
              </w:rPr>
              <w:t>мкг</w:t>
            </w:r>
          </w:p>
        </w:tc>
        <w:tc>
          <w:tcPr>
            <w:tcW w:w="3119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1*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Style17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Фолиевая кислота </w:t>
            </w:r>
          </w:p>
        </w:tc>
        <w:tc>
          <w:tcPr>
            <w:tcW w:w="3118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400 </w:t>
            </w:r>
            <w:r>
              <w:rPr>
                <w:rFonts w:ascii="Times New Roman" w:hAnsi="Times New Roman"/>
                <w:sz w:val="28"/>
                <w:szCs w:val="28"/>
              </w:rPr>
              <w:t>мкг</w:t>
            </w:r>
          </w:p>
        </w:tc>
        <w:tc>
          <w:tcPr>
            <w:tcW w:w="3119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1*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Style17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Холин </w:t>
            </w:r>
          </w:p>
        </w:tc>
        <w:tc>
          <w:tcPr>
            <w:tcW w:w="3118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60 </w:t>
            </w:r>
            <w:r>
              <w:rPr>
                <w:rFonts w:ascii="Times New Roman" w:hAnsi="Times New Roman"/>
                <w:sz w:val="28"/>
                <w:szCs w:val="28"/>
              </w:rPr>
              <w:t>мг</w:t>
            </w:r>
          </w:p>
        </w:tc>
        <w:tc>
          <w:tcPr>
            <w:tcW w:w="3119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Style17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Уридин-5-монофосфат динатриевая соль </w:t>
            </w:r>
          </w:p>
        </w:tc>
        <w:tc>
          <w:tcPr>
            <w:tcW w:w="3118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150 </w:t>
            </w:r>
            <w:r>
              <w:rPr>
                <w:rFonts w:ascii="Times New Roman" w:hAnsi="Times New Roman"/>
                <w:sz w:val="28"/>
                <w:szCs w:val="28"/>
              </w:rPr>
              <w:t>мг</w:t>
            </w:r>
          </w:p>
        </w:tc>
        <w:tc>
          <w:tcPr>
            <w:tcW w:w="3119" w:type="dxa"/>
            <w:tcBorders/>
          </w:tcPr>
          <w:p>
            <w:pPr>
              <w:pStyle w:val="Style17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не превышает верхний допустимый уровень потребления, установленный согласно «Единым санитарно-эпидемиологическим и гигиеническим требованиям к товарам, подлежащим санитарно-эпидемиологическому надзору (контролю)» (Глава II, раздел 1, Приложение 5)2; </w:t>
        <w:br/>
        <w:t xml:space="preserve">1 - согласно: ТР ТС 022/2011 «Пищевая продукция в части ее маркировки» (Приложение 2). </w:t>
        <w:br/>
        <w:t>2 – согласно «Единым санитарно-эпидемиологическим и гигиеническим требованиям к товарам, подлежащим санитарно-эпидемиологическому надзору (контролю)» (Глава II, раздел 1, Приложение 5)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>для витамина В1- 5мг; витамина В6- 6мг; для витамина В12- 9мкг; для фолиевой к-ты- 600мкг.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360" w:charSpace="4096"/>
        </w:sectPr>
      </w:pP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Рекомендации по применению: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br/>
        <w:t>Взрослым по 1 капсуле в день во время еды.</w:t>
      </w:r>
    </w:p>
    <w:p>
      <w:pPr>
        <w:pStyle w:val="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b/>
          <w:bCs/>
          <w:sz w:val="28"/>
          <w:szCs w:val="28"/>
        </w:rPr>
        <w:t>Противопоказания: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Индивидуальная непереносимость компонентов, беременность, кормление грудью. </w:t>
        <w:br/>
        <w:t xml:space="preserve">Перед применением рекомендуется проконсультироваться с врачом. </w:t>
        <w:br/>
        <w:br/>
      </w:r>
      <w:r>
        <w:rPr>
          <w:rStyle w:val="Style11"/>
          <w:rFonts w:ascii="Times New Roman" w:hAnsi="Times New Roman"/>
          <w:b/>
          <w:bCs/>
          <w:sz w:val="28"/>
          <w:szCs w:val="28"/>
        </w:rPr>
        <w:t>Условия хранения: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br/>
        <w:t>Хранить в сухом, недоступном для детей месте, при температуре не выше 25°С.</w:t>
        <w:br/>
        <w:br/>
      </w:r>
    </w:p>
    <w:sectPr>
      <w:type w:val="continuous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2"/>
    <w:next w:val="Style13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2"/>
    <w:next w:val="Style13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Application>LibreOffice/7.3.5.2$Windows_X86_64 LibreOffice_project/184fe81b8c8c30d8b5082578aee2fed2ea847c01</Application>
  <AppVersion>15.0000</AppVersion>
  <Pages>2</Pages>
  <Words>233</Words>
  <Characters>1732</Characters>
  <CharactersWithSpaces>1952</CharactersWithSpaces>
  <Paragraphs>30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2026-10-23T15:42:28Z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