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b"/>
        <w:tblW w:w="82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/>
              <w:spacing w:before="0" w:after="0"/>
              <w:ind w:left="142" w:right="141" w:hanging="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>ЛИСТОК-ВКЛАДЫШ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>Биологически активная добавка к пище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>«</w:t>
            </w:r>
            <w:r>
              <w:rPr>
                <w:rFonts w:cs="Arial" w:ascii="Arial" w:hAnsi="Arial"/>
                <w:b/>
                <w:kern w:val="0"/>
                <w:sz w:val="18"/>
                <w:szCs w:val="18"/>
                <w:lang w:val="en-US" w:bidi="ar-SA"/>
              </w:rPr>
              <w:t>D</w:t>
            </w: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>3 2000 МЕ + Цинк + С комплекс в сезон простуд»</w:t>
            </w:r>
          </w:p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 xml:space="preserve">Форма выпуска: </w:t>
            </w: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 xml:space="preserve">таблетки </w:t>
            </w:r>
            <w:r>
              <w:rPr>
                <w:rFonts w:cs="Arial" w:ascii="Arial" w:hAnsi="Arial"/>
                <w:spacing w:val="-3"/>
                <w:kern w:val="0"/>
                <w:sz w:val="18"/>
                <w:szCs w:val="18"/>
                <w:lang w:val="ru-RU" w:bidi="ar-SA"/>
              </w:rPr>
              <w:t>по 600 мг.</w:t>
            </w:r>
          </w:p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cs="Arial" w:ascii="Arial" w:hAnsi="Arial"/>
                <w:spacing w:val="-3"/>
                <w:kern w:val="0"/>
                <w:sz w:val="18"/>
                <w:szCs w:val="18"/>
                <w:lang w:val="ru-RU" w:bidi="ar-SA"/>
              </w:rPr>
              <w:t>По 10 - 300 таблеток в банку полимерную.</w:t>
            </w:r>
          </w:p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cs="Arial" w:ascii="Arial" w:hAnsi="Arial"/>
                <w:spacing w:val="-3"/>
                <w:kern w:val="0"/>
                <w:sz w:val="18"/>
                <w:szCs w:val="18"/>
                <w:lang w:val="ru-RU" w:bidi="ar-SA"/>
              </w:rPr>
              <w:t>По 10 или 15, или 20 таблеток в контурную ячейковую упаковку.</w:t>
            </w:r>
          </w:p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cs="Arial" w:ascii="Arial" w:hAnsi="Arial"/>
                <w:spacing w:val="-3"/>
                <w:kern w:val="0"/>
                <w:sz w:val="18"/>
                <w:szCs w:val="18"/>
                <w:lang w:val="ru-RU" w:bidi="ar-SA"/>
              </w:rPr>
              <w:t>По 1 или 2, или 3, или 4, или 5, или 6, или 8, или 9, или 10 контурных ячейковых упаковок в пачке.</w:t>
            </w:r>
          </w:p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rial" w:hAnsi="Arial" w:cs="Arial"/>
                <w:spacing w:val="-6"/>
                <w:sz w:val="18"/>
                <w:szCs w:val="18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>Состав:</w:t>
            </w:r>
            <w:r>
              <w:rPr>
                <w:rFonts w:cs="Arial" w:ascii="Arial" w:hAnsi="Arial"/>
                <w:bCs/>
                <w:kern w:val="0"/>
                <w:sz w:val="18"/>
                <w:szCs w:val="18"/>
                <w:lang w:val="ru-RU" w:bidi="ar-SA"/>
              </w:rPr>
              <w:t xml:space="preserve"> целлюлоза микрокристаллическая (носитель), </w:t>
            </w:r>
            <w:r>
              <w:rPr>
                <w:rFonts w:cs="Arial" w:ascii="Arial" w:hAnsi="Arial"/>
                <w:bCs/>
                <w:kern w:val="0"/>
                <w:sz w:val="18"/>
                <w:szCs w:val="18"/>
                <w:lang w:val="en-US" w:bidi="ar-SA"/>
              </w:rPr>
              <w:t>L</w:t>
            </w:r>
            <w:r>
              <w:rPr>
                <w:rFonts w:cs="Arial" w:ascii="Arial" w:hAnsi="Arial"/>
                <w:bCs/>
                <w:kern w:val="0"/>
                <w:sz w:val="18"/>
                <w:szCs w:val="18"/>
                <w:lang w:val="ru-RU" w:bidi="ar-SA"/>
              </w:rPr>
              <w:t xml:space="preserve">-аскорбиновая кислота </w:t>
              <w:br/>
              <w:t xml:space="preserve">(витамин С), лактозы моногидрат, цинка цитрат, холекальциферол (витамин </w:t>
            </w:r>
            <w:r>
              <w:rPr>
                <w:rFonts w:cs="Arial" w:ascii="Arial" w:hAnsi="Arial"/>
                <w:bCs/>
                <w:kern w:val="0"/>
                <w:sz w:val="18"/>
                <w:szCs w:val="18"/>
                <w:lang w:val="en-US" w:bidi="ar-SA"/>
              </w:rPr>
              <w:t>D</w:t>
            </w:r>
            <w:r>
              <w:rPr>
                <w:rFonts w:cs="Arial" w:ascii="Arial" w:hAnsi="Arial"/>
                <w:bCs/>
                <w:kern w:val="0"/>
                <w:sz w:val="18"/>
                <w:szCs w:val="18"/>
                <w:lang w:val="ru-RU" w:bidi="ar-SA"/>
              </w:rPr>
              <w:t>3), агенты антислеживающие: тальк, кальция стеарат</w:t>
            </w:r>
            <w:r>
              <w:rPr>
                <w:rFonts w:cs="Arial" w:ascii="Arial" w:hAnsi="Arial"/>
                <w:spacing w:val="-6"/>
                <w:kern w:val="0"/>
                <w:sz w:val="18"/>
                <w:szCs w:val="18"/>
                <w:lang w:val="ru-RU" w:bidi="ar-SA"/>
              </w:rPr>
              <w:t>.</w:t>
            </w:r>
          </w:p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kern w:val="0"/>
                <w:sz w:val="18"/>
                <w:szCs w:val="18"/>
                <w:lang w:val="ru-RU" w:bidi="ar-SA"/>
              </w:rPr>
              <w:t>Содержание биологически активных веществ в суточной дозе БАД:</w:t>
            </w:r>
          </w:p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kern w:val="0"/>
                <w:sz w:val="18"/>
                <w:szCs w:val="18"/>
                <w:lang w:val="ru-RU" w:bidi="ar-SA"/>
              </w:rPr>
              <w:t>* - не превышает верхний допустимый уровень суточного потребления</w:t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">
                      <wp:simplePos x="0" y="0"/>
                      <wp:positionH relativeFrom="margin">
                        <wp:posOffset>-25400</wp:posOffset>
                      </wp:positionH>
                      <wp:positionV relativeFrom="paragraph">
                        <wp:posOffset>29845</wp:posOffset>
                      </wp:positionV>
                      <wp:extent cx="5034280" cy="881380"/>
                      <wp:effectExtent l="0" t="0" r="0" b="0"/>
                      <wp:wrapSquare wrapText="bothSides"/>
                      <wp:docPr id="1" name="Врезка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34280" cy="8813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tbl>
                                  <w:tblPr>
                                    <w:tblpPr w:bottomFromText="0" w:horzAnchor="margin" w:leftFromText="180" w:rightFromText="180" w:tblpX="0" w:tblpY="47" w:topFromText="0" w:vertAnchor="text"/>
                                    <w:tblW w:w="7928" w:type="dxa"/>
                                    <w:jc w:val="left"/>
                                    <w:tblInd w:w="40" w:type="dxa"/>
                                    <w:tblLayout w:type="fixed"/>
                                    <w:tblCellMar>
                                      <w:top w:w="0" w:type="dxa"/>
                                      <w:left w:w="40" w:type="dxa"/>
                                      <w:bottom w:w="0" w:type="dxa"/>
                                      <w:right w:w="40" w:type="dxa"/>
                                    </w:tblCellMar>
                                    <w:tblLook w:firstRow="0" w:noVBand="0" w:lastRow="0" w:firstColumn="0" w:lastColumn="0" w:noHBand="0" w:val="0000"/>
                                  </w:tblPr>
                                  <w:tblGrid>
                                    <w:gridCol w:w="2119"/>
                                    <w:gridCol w:w="1700"/>
                                    <w:gridCol w:w="1557"/>
                                    <w:gridCol w:w="2551"/>
                                  </w:tblGrid>
                                  <w:tr>
                                    <w:trPr>
                                      <w:trHeight w:val="551" w:hRule="atLeast"/>
                                    </w:trPr>
                                    <w:tc>
                                      <w:tcPr>
                                        <w:tcW w:w="2119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Наименование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активных компонентов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Содержание в 1/4 таблетки, мг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7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Содержание в 1 таблетке, мг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51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-41" w:right="-36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Процент от рекомендуемого уровня суточного потребления в ¼ таблетки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07" w:hRule="atLeast"/>
                                    </w:trPr>
                                    <w:tc>
                                      <w:tcPr>
                                        <w:tcW w:w="2119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Витамин 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7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200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51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83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112" w:hRule="atLeast"/>
                                    </w:trPr>
                                    <w:tc>
                                      <w:tcPr>
                                        <w:tcW w:w="2119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Витамин </w:t>
                                        </w: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D</w:t>
                                        </w: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right="-44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0,0125 (500 МЕ)</w:t>
                                        </w: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7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2000 МЕ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51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250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07" w:hRule="atLeast"/>
                                    </w:trPr>
                                    <w:tc>
                                      <w:tcPr>
                                        <w:tcW w:w="2119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Цинк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3,75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7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51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hd w:val="clear" w:color="auto" w:fill="FFFFFF"/>
                                          <w:ind w:left="57" w:right="57" w:hanging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Arial" w:ascii="Arial" w:hAnsi="Arial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25</w:t>
                                        </w:r>
                                      </w:p>
                                    </w:tc>
                                  </w:tr>
                                </w:tbl>
                              </w:txbxContent>
                            </wps:txbx>
                            <wps:bodyPr anchor="t" lIns="0" tIns="0" rIns="0" bIns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yle="position:absolute;rotation:-0;width:396.4pt;height:69.4pt;mso-wrap-distance-left:9pt;mso-wrap-distance-right:9pt;mso-wrap-distance-top:0pt;mso-wrap-distance-bottom:0pt;margin-top:2.35pt;mso-position-vertical-relative:text;margin-left:-2pt;mso-position-horizontal-relative:margin">
                      <v:textbox inset="0in,0in,0in,0in">
                        <w:txbxContent>
                          <w:tbl>
                            <w:tblPr>
                              <w:tblpPr w:bottomFromText="0" w:horzAnchor="margin" w:leftFromText="180" w:rightFromText="180" w:tblpX="0" w:tblpY="47" w:topFromText="0" w:vertAnchor="text"/>
                              <w:tblW w:w="7928" w:type="dxa"/>
                              <w:jc w:val="left"/>
                              <w:tblInd w:w="40" w:type="dxa"/>
                              <w:tblLayout w:type="fixed"/>
                              <w:tblCellMar>
                                <w:top w:w="0" w:type="dxa"/>
                                <w:left w:w="40" w:type="dxa"/>
                                <w:bottom w:w="0" w:type="dxa"/>
                                <w:right w:w="40" w:type="dxa"/>
                              </w:tblCellMar>
                              <w:tblLook w:firstRow="0" w:noVBand="0" w:lastRow="0" w:firstColumn="0" w:lastColumn="0" w:noHBand="0" w:val="0000"/>
                            </w:tblPr>
                            <w:tblGrid>
                              <w:gridCol w:w="2119"/>
                              <w:gridCol w:w="1700"/>
                              <w:gridCol w:w="1557"/>
                              <w:gridCol w:w="2551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21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Наименование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активных компонентов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Содержание в 1/4 таблетки, мг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Содержание в 1 таблетке, мг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-41" w:right="-36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Процент от рекомендуемого уровня суточного потребления в ¼ таблетки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7" w:hRule="atLeast"/>
                              </w:trPr>
                              <w:tc>
                                <w:tcPr>
                                  <w:tcW w:w="21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Витамин С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83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2" w:hRule="atLeast"/>
                              </w:trPr>
                              <w:tc>
                                <w:tcPr>
                                  <w:tcW w:w="21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Витамин </w:t>
                                  </w: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right="-44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0,0125 (500 МЕ)</w:t>
                                  </w: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2000 МЕ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7" w:hRule="atLeast"/>
                              </w:trPr>
                              <w:tc>
                                <w:tcPr>
                                  <w:tcW w:w="21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Цинк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3,75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hd w:val="clear" w:color="auto" w:fill="FFFFFF"/>
                                    <w:ind w:left="57" w:right="57" w:hang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25</w:t>
                                  </w:r>
                                </w:p>
                              </w:tc>
                            </w:tr>
                          </w:tbl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0" w:themeColor="text1"/>
                <w:kern w:val="0"/>
                <w:sz w:val="18"/>
                <w:szCs w:val="18"/>
                <w:lang w:val="ru-RU" w:bidi="ar-SA"/>
              </w:rPr>
              <w:t xml:space="preserve">Назначение: </w:t>
            </w:r>
            <w:r>
              <w:rPr>
                <w:rFonts w:cs="Arial" w:ascii="Arial" w:hAnsi="Arial"/>
                <w:bCs/>
                <w:kern w:val="0"/>
                <w:sz w:val="18"/>
                <w:szCs w:val="18"/>
                <w:lang w:val="ru-RU" w:bidi="ar-SA"/>
              </w:rPr>
              <w:t xml:space="preserve">рекомендуется в качестве дополнительного источника витамина </w:t>
            </w:r>
            <w:r>
              <w:rPr>
                <w:rFonts w:cs="Arial" w:ascii="Arial" w:hAnsi="Arial"/>
                <w:bCs/>
                <w:kern w:val="0"/>
                <w:sz w:val="18"/>
                <w:szCs w:val="18"/>
                <w:lang w:val="en-US" w:bidi="ar-SA"/>
              </w:rPr>
              <w:t>D</w:t>
            </w:r>
            <w:r>
              <w:rPr>
                <w:rFonts w:cs="Arial" w:ascii="Arial" w:hAnsi="Arial"/>
                <w:bCs/>
                <w:kern w:val="0"/>
                <w:sz w:val="18"/>
                <w:szCs w:val="18"/>
                <w:lang w:val="ru-RU" w:bidi="ar-SA"/>
              </w:rPr>
              <w:t xml:space="preserve">3, </w:t>
              <w:br/>
              <w:t>витамина С и цинка.</w:t>
            </w:r>
          </w:p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kern w:val="0"/>
                <w:sz w:val="18"/>
                <w:szCs w:val="18"/>
                <w:lang w:val="ru-RU" w:bidi="ar-SA"/>
              </w:rPr>
              <w:t>Сочетание активных ингредиентов с выраженными антиоксидантными свойствами способствует укреплению иммунитета, восстановлению защитных сил организма в период сезонных эпидемий гриппа и простуды. Усовершенствованная формула для усиления иммунной поддержки, снижения риска простудных и вирусных заболеваний.</w:t>
            </w:r>
          </w:p>
          <w:p>
            <w:pPr>
              <w:pStyle w:val="ListParagraph"/>
              <w:widowControl/>
              <w:spacing w:lineRule="auto" w:line="276" w:before="0" w:after="160"/>
              <w:ind w:left="23" w:hanging="0"/>
              <w:contextualSpacing/>
              <w:jc w:val="both"/>
              <w:rPr>
                <w:rFonts w:ascii="Arial" w:hAnsi="Arial" w:eastAsia="Times New Roman" w:cs="Arial"/>
                <w:sz w:val="18"/>
                <w:szCs w:val="18"/>
                <w:lang w:eastAsia="ru-RU"/>
              </w:rPr>
            </w:pPr>
            <w:r>
              <w:rPr>
                <w:rFonts w:cs="Arial" w:ascii="Arial" w:hAnsi="Arial"/>
                <w:b/>
                <w:color w:val="000000" w:themeColor="text1"/>
                <w:kern w:val="0"/>
                <w:sz w:val="18"/>
                <w:szCs w:val="18"/>
                <w:lang w:val="ru-RU" w:bidi="ar-SA"/>
              </w:rPr>
              <w:t xml:space="preserve">Рекомендации по применению: </w:t>
            </w: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ru-RU" w:eastAsia="ru-RU" w:bidi="ar-SA"/>
              </w:rPr>
              <w:t>лицам старше 18 лет принимать по 1/4 таблетки в день во время еды. Рекомендуется ежедневный прием в период эпидемий гриппа и простуд. Курс приема 1 месяц. При необходимости курс приема можно повторить.</w:t>
            </w:r>
          </w:p>
          <w:p>
            <w:pPr>
              <w:pStyle w:val="ListParagraph"/>
              <w:widowControl/>
              <w:spacing w:lineRule="auto" w:line="276" w:before="0" w:after="160"/>
              <w:ind w:left="23" w:hanging="0"/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 w:themeColor="text1"/>
                <w:kern w:val="0"/>
                <w:sz w:val="18"/>
                <w:szCs w:val="18"/>
                <w:lang w:val="ru-RU" w:bidi="ar-SA"/>
              </w:rPr>
              <w:t>Перед применением рекомендуется проконсультироваться с врачом.</w:t>
            </w:r>
          </w:p>
          <w:p>
            <w:pPr>
              <w:pStyle w:val="ListParagraph"/>
              <w:widowControl/>
              <w:spacing w:lineRule="auto" w:line="276" w:before="0" w:after="160"/>
              <w:ind w:left="23" w:hanging="0"/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0" w:themeColor="text1"/>
                <w:kern w:val="0"/>
                <w:sz w:val="18"/>
                <w:szCs w:val="18"/>
                <w:lang w:val="ru-RU" w:bidi="ar-SA"/>
              </w:rPr>
              <w:t xml:space="preserve">Противопоказания: </w:t>
            </w:r>
            <w:r>
              <w:rPr>
                <w:rFonts w:cs="Arial" w:ascii="Arial" w:hAnsi="Arial"/>
                <w:bCs/>
                <w:color w:val="000000" w:themeColor="text1"/>
                <w:kern w:val="0"/>
                <w:sz w:val="18"/>
                <w:szCs w:val="18"/>
                <w:lang w:val="ru-RU" w:bidi="ar-SA"/>
              </w:rPr>
              <w:t>индивидуальная непереносимость компонентов продукта, беременность и кормление грудью.</w:t>
            </w:r>
          </w:p>
          <w:p>
            <w:pPr>
              <w:pStyle w:val="ListParagraph"/>
              <w:widowControl/>
              <w:spacing w:lineRule="auto" w:line="276" w:before="0" w:after="160"/>
              <w:ind w:left="23" w:hanging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pacing w:val="-2"/>
                <w:kern w:val="0"/>
                <w:sz w:val="18"/>
                <w:szCs w:val="18"/>
                <w:lang w:val="ru-RU" w:bidi="ar-SA"/>
              </w:rPr>
              <w:t>Пищевая ценность 1 таблетки:</w:t>
            </w:r>
            <w:r>
              <w:rPr>
                <w:rFonts w:cs="Arial" w:ascii="Arial" w:hAnsi="Arial"/>
                <w:spacing w:val="-2"/>
                <w:kern w:val="0"/>
                <w:sz w:val="18"/>
                <w:szCs w:val="18"/>
                <w:lang w:val="ru-RU" w:bidi="ar-SA"/>
              </w:rPr>
              <w:t xml:space="preserve"> углеводы – 0,3 г, пищевые волокна – 0,2 г,</w:t>
            </w: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 xml:space="preserve"> энергетическая ценность (калорийность) - 5 кДж (1 ккал).</w:t>
            </w:r>
          </w:p>
          <w:p>
            <w:pPr>
              <w:pStyle w:val="ListParagraph"/>
              <w:widowControl/>
              <w:spacing w:lineRule="auto" w:line="276" w:before="0" w:after="160"/>
              <w:ind w:left="23" w:hanging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 xml:space="preserve">Срок годности 2 года. </w:t>
            </w: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>Не испол</w:t>
            </w: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ru-RU" w:eastAsia="ru-RU" w:bidi="ar-SA"/>
              </w:rPr>
              <w:t>ьзовать после истечения срока годности</w:t>
            </w: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>.</w:t>
            </w:r>
          </w:p>
          <w:p>
            <w:pPr>
              <w:pStyle w:val="ListParagraph"/>
              <w:widowControl/>
              <w:spacing w:lineRule="auto" w:line="276" w:before="0" w:after="160"/>
              <w:ind w:left="23" w:hanging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 xml:space="preserve">Условия хранения: </w:t>
            </w: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 xml:space="preserve">в защищенном от прямого солнечного света месте, при температуре не выше </w:t>
            </w:r>
            <w:r>
              <w:rPr>
                <w:rFonts w:cs="Arial" w:ascii="Arial" w:hAnsi="Arial"/>
                <w:color w:val="000000"/>
                <w:kern w:val="0"/>
                <w:sz w:val="18"/>
                <w:szCs w:val="18"/>
                <w:lang w:val="ru-RU" w:bidi="ar-SA"/>
              </w:rPr>
              <w:t xml:space="preserve">25 </w:t>
            </w:r>
            <w:r>
              <w:rPr>
                <w:rFonts w:cs="Arial" w:ascii="Arial" w:hAnsi="Arial"/>
                <w:color w:val="000000"/>
                <w:kern w:val="0"/>
                <w:sz w:val="18"/>
                <w:szCs w:val="18"/>
                <w:vertAlign w:val="superscript"/>
                <w:lang w:val="ru-RU" w:bidi="ar-SA"/>
              </w:rPr>
              <w:t>0</w:t>
            </w:r>
            <w:r>
              <w:rPr>
                <w:rFonts w:cs="Arial" w:ascii="Arial" w:hAnsi="Arial"/>
                <w:color w:val="000000"/>
                <w:kern w:val="0"/>
                <w:sz w:val="18"/>
                <w:szCs w:val="18"/>
                <w:lang w:val="ru-RU" w:bidi="ar-SA"/>
              </w:rPr>
              <w:t xml:space="preserve">С и относительной влажности не выше </w:t>
            </w: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>80 %.</w:t>
            </w:r>
          </w:p>
          <w:p>
            <w:pPr>
              <w:pStyle w:val="ListParagraph"/>
              <w:widowControl/>
              <w:spacing w:lineRule="auto" w:line="276" w:before="0" w:after="160"/>
              <w:ind w:left="23" w:hanging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>ТУ ВY 691496983.062-2020</w:t>
            </w:r>
          </w:p>
          <w:p>
            <w:pPr>
              <w:pStyle w:val="ListParagraph"/>
              <w:widowControl/>
              <w:spacing w:lineRule="auto" w:line="276" w:before="0" w:after="160"/>
              <w:ind w:left="23" w:hanging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>Не является лекарственным средством.</w:t>
            </w:r>
          </w:p>
          <w:p>
            <w:pPr>
              <w:pStyle w:val="ListParagraph"/>
              <w:widowControl/>
              <w:spacing w:lineRule="auto" w:line="240" w:before="0" w:after="0"/>
              <w:ind w:left="23" w:hanging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>Места реализации</w:t>
            </w: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 xml:space="preserve"> определяются национальным законодательством государств-членов Евразийского экономического союза.</w:t>
            </w:r>
          </w:p>
          <w:p>
            <w:pPr>
              <w:pStyle w:val="Normal"/>
              <w:widowControl/>
              <w:spacing w:before="0" w:after="0"/>
              <w:ind w:left="2298" w:hanging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object>
                <v:shapetype id="_x0000_tole_rId2" coordsize="21600,21600" o:spt="ole_rId2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type="_x0000_tole_rId2" style="position:absolute;margin-left:1.75pt;margin-top:1.85pt;width:72.9pt;height:24.55pt;mso-wrap-distance-right:0pt;mso-position-horizontal-relative:text;mso-position-vertical-relative:text" filled="f" o:ole="">
                  <v:imagedata r:id="rId3" o:title=""/>
                  <w10:wrap type="square"/>
                </v:shape>
                <o:OLEObject Type="Embed" ProgID="CorelDraw.Graphic.15" ShapeID="ole_rId2" DrawAspect="Content" ObjectID="_366355058" r:id="rId2"/>
              </w:object>
            </w:r>
            <w:r>
              <w:rPr>
                <w:rFonts w:cs="Arial" w:ascii="Arial" w:hAnsi="Arial"/>
                <w:b/>
                <w:spacing w:val="-4"/>
                <w:kern w:val="0"/>
                <w:sz w:val="18"/>
                <w:szCs w:val="18"/>
                <w:lang w:val="ru-RU" w:bidi="ar-SA"/>
              </w:rPr>
              <w:t>Изготовитель/Организация, принимающая претензии от потребителей на территории ЕАЭС:</w:t>
            </w:r>
            <w:r>
              <w:rPr>
                <w:rFonts w:cs="Arial" w:ascii="Arial" w:hAnsi="Arial"/>
                <w:spacing w:val="-4"/>
                <w:kern w:val="0"/>
                <w:sz w:val="18"/>
                <w:szCs w:val="18"/>
                <w:lang w:val="ru-RU" w:bidi="ar-SA"/>
              </w:rPr>
              <w:t xml:space="preserve"> ООО «Биотерра», 222521, Республика Беларусь,</w:t>
            </w: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 xml:space="preserve"> Минская обл., Борисовский р-н, Пригородный с/с, д. Углы, ул. ДСУ-25, 1В,</w:t>
            </w:r>
          </w:p>
          <w:p>
            <w:pPr>
              <w:pStyle w:val="Normal"/>
              <w:widowControl/>
              <w:spacing w:before="0" w:after="0"/>
              <w:ind w:left="22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 xml:space="preserve">тел.: +375177 755004, </w:t>
            </w:r>
            <w:r>
              <w:rPr>
                <w:rFonts w:cs="Arial" w:ascii="Arial" w:hAnsi="Arial"/>
                <w:kern w:val="0"/>
                <w:sz w:val="18"/>
                <w:szCs w:val="18"/>
                <w:lang w:val="en-US" w:bidi="ar-SA"/>
              </w:rPr>
              <w:t>e</w:t>
            </w: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>-</w:t>
            </w:r>
            <w:r>
              <w:rPr>
                <w:rFonts w:cs="Arial" w:ascii="Arial" w:hAnsi="Arial"/>
                <w:kern w:val="0"/>
                <w:sz w:val="18"/>
                <w:szCs w:val="18"/>
                <w:lang w:val="en-US" w:bidi="ar-SA"/>
              </w:rPr>
              <w:t>mail</w:t>
            </w: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 xml:space="preserve">: </w:t>
            </w:r>
            <w:r>
              <w:rPr>
                <w:rFonts w:cs="Arial" w:ascii="Arial" w:hAnsi="Arial"/>
                <w:kern w:val="0"/>
                <w:sz w:val="18"/>
                <w:szCs w:val="18"/>
                <w:lang w:val="en-US" w:bidi="ar-SA"/>
              </w:rPr>
              <w:t>info</w:t>
            </w: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>@</w:t>
            </w:r>
            <w:r>
              <w:rPr>
                <w:rFonts w:cs="Arial" w:ascii="Arial" w:hAnsi="Arial"/>
                <w:kern w:val="0"/>
                <w:sz w:val="18"/>
                <w:szCs w:val="18"/>
                <w:lang w:val="en-US" w:bidi="ar-SA"/>
              </w:rPr>
              <w:t>bioterra</w:t>
            </w:r>
            <w:r>
              <w:rPr>
                <w:rFonts w:cs="Arial" w:ascii="Arial" w:hAnsi="Arial"/>
                <w:kern w:val="0"/>
                <w:sz w:val="18"/>
                <w:szCs w:val="18"/>
                <w:lang w:val="ru-RU" w:bidi="ar-SA"/>
              </w:rPr>
              <w:t>.</w:t>
            </w:r>
            <w:r>
              <w:rPr>
                <w:rFonts w:cs="Arial" w:ascii="Arial" w:hAnsi="Arial"/>
                <w:kern w:val="0"/>
                <w:sz w:val="18"/>
                <w:szCs w:val="18"/>
                <w:lang w:val="en-US" w:bidi="ar-SA"/>
              </w:rPr>
              <w:t>by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jc w:val="both"/>
        <w:rPr>
          <w:rFonts w:ascii="Arial" w:hAnsi="Arial" w:cs="Arial"/>
          <w:sz w:val="12"/>
          <w:szCs w:val="12"/>
        </w:rPr>
      </w:pPr>
      <w:r>
        <w:rPr/>
      </w:r>
    </w:p>
    <w:sectPr>
      <w:type w:val="nextPage"/>
      <w:pgSz w:w="11906" w:h="16838"/>
      <w:pgMar w:left="1418" w:right="851" w:gutter="0" w:header="0" w:top="964" w:footer="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53f8d"/>
    <w:pPr>
      <w:widowControl/>
      <w:overflowPunct w:val="true"/>
      <w:bidi w:val="0"/>
      <w:spacing w:lineRule="auto" w:line="240" w:before="0" w:after="0"/>
      <w:jc w:val="left"/>
      <w:textAlignment w:val="baseline"/>
    </w:pPr>
    <w:rPr>
      <w:rFonts w:eastAsia="Times New Roman" w:ascii="Times New Roman" w:hAnsi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3a7b19"/>
    <w:rPr>
      <w:rFonts w:eastAsia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3a7b19"/>
    <w:rPr>
      <w:rFonts w:eastAsia="Times New Roman"/>
      <w:sz w:val="20"/>
      <w:szCs w:val="20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2d22db"/>
    <w:rPr>
      <w:rFonts w:ascii="Tahoma" w:hAnsi="Tahoma" w:eastAsia="Times New Roman" w:cs="Tahoma"/>
      <w:sz w:val="16"/>
      <w:szCs w:val="16"/>
      <w:lang w:eastAsia="ru-RU"/>
    </w:rPr>
  </w:style>
  <w:style w:type="character" w:styleId="Style17">
    <w:name w:val="Интернет-ссылка"/>
    <w:basedOn w:val="DefaultParagraphFont"/>
    <w:uiPriority w:val="99"/>
    <w:unhideWhenUsed/>
    <w:rsid w:val="0076787b"/>
    <w:rPr>
      <w:color w:val="0000FF" w:themeColor="hyperlink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4"/>
    <w:unhideWhenUsed/>
    <w:rsid w:val="003a7b1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Style15"/>
    <w:uiPriority w:val="99"/>
    <w:semiHidden/>
    <w:unhideWhenUsed/>
    <w:rsid w:val="003a7b1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2d22db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6f3107"/>
    <w:pPr>
      <w:overflowPunct w:val="false"/>
      <w:spacing w:beforeAutospacing="1" w:afterAutospacing="1"/>
      <w:textAlignment w:val="auto"/>
    </w:pPr>
    <w:rPr>
      <w:sz w:val="26"/>
      <w:szCs w:val="26"/>
    </w:rPr>
  </w:style>
  <w:style w:type="paragraph" w:styleId="ListParagraph">
    <w:name w:val="List Paragraph"/>
    <w:basedOn w:val="Normal"/>
    <w:uiPriority w:val="34"/>
    <w:qFormat/>
    <w:rsid w:val="000a6aec"/>
    <w:pPr>
      <w:overflowPunct w:val="false"/>
      <w:spacing w:lineRule="auto" w:line="259" w:before="0" w:after="160"/>
      <w:ind w:left="720" w:hanging="0"/>
      <w:contextualSpacing/>
      <w:textAlignment w:val="auto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992b5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C89ED-3B90-42BB-A5BD-39BE90F46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Application>LibreOffice/7.3.5.2$Windows_X86_64 LibreOffice_project/184fe81b8c8c30d8b5082578aee2fed2ea847c01</Application>
  <AppVersion>15.0000</AppVersion>
  <Pages>1</Pages>
  <Words>332</Words>
  <Characters>2125</Characters>
  <CharactersWithSpaces>2421</CharactersWithSpaces>
  <Paragraphs>40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2019-02-05T11:08:00Z</dcterms:created>
  <dc:creator>User_1</dc:creator>
  <dc:description/>
  <dc:language>ru-RU</dc:language>
  <cp:lastModifiedBy>DIMA</cp:lastModifiedBy>
  <cp:lastPrinted>2019-03-04T07:19:00Z</cp:lastPrinted>
  <dcterms:modified xsi:type="dcterms:W3CDTF">2025-06-29T16:28:00Z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