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spacing w:lineRule="auto" w:line="240" w:before="0" w:after="0"/>
        <w:jc w:val="center"/>
        <w:rPr>
          <w:rFonts w:ascii="Times New Roman" w:hAnsi="Times New Roman" w:eastAsia="Times New Roman" w:cs="Times New Roman"/>
          <w:b/>
          <w:b/>
          <w:bCs/>
          <w:sz w:val="32"/>
          <w:szCs w:val="32"/>
          <w:lang w:eastAsia="ru-RU"/>
        </w:rPr>
      </w:pPr>
      <w:r>
        <w:rPr>
          <w:rFonts w:eastAsia="Times New Roman" w:cs="Times New Roman" w:ascii="Times New Roman" w:hAnsi="Times New Roman"/>
          <w:b/>
          <w:bCs/>
          <w:sz w:val="32"/>
          <w:szCs w:val="32"/>
          <w:lang w:eastAsia="ru-RU"/>
        </w:rPr>
        <w:t>ВИТУС М лимон-лайм БАД таблетки быстрораств. 3,8г упаковка №20</w:t>
      </w:r>
    </w:p>
    <w:p>
      <w:pPr>
        <w:pStyle w:val="Style12"/>
        <w:spacing w:lineRule="auto" w:line="240" w:before="0" w:after="0"/>
        <w:jc w:val="center"/>
        <w:rPr>
          <w:rFonts w:ascii="Times New Roman" w:hAnsi="Times New Roman" w:eastAsia="Times New Roman" w:cs="Times New Roman"/>
          <w:b/>
          <w:b/>
          <w:bCs/>
          <w:sz w:val="32"/>
          <w:szCs w:val="32"/>
          <w:lang w:eastAsia="ru-RU"/>
        </w:rPr>
      </w:pPr>
      <w:r>
        <w:rPr/>
      </w:r>
    </w:p>
    <w:p>
      <w:pPr>
        <w:pStyle w:val="Style12"/>
        <w:spacing w:lineRule="auto" w:line="240" w:before="0" w:after="0"/>
        <w:jc w:val="left"/>
        <w:rPr>
          <w:rFonts w:ascii="Times New Roman" w:hAnsi="Times New Roman"/>
          <w:sz w:val="28"/>
          <w:szCs w:val="28"/>
        </w:rPr>
      </w:pPr>
      <w:r>
        <w:rPr>
          <w:rFonts w:ascii="Times New Roman" w:hAnsi="Times New Roman"/>
          <w:sz w:val="28"/>
          <w:szCs w:val="28"/>
        </w:rPr>
        <w:t>Биологически активная добавка к пище «Витус М» с ароматом лимон -лайм.</w:t>
        <w:br/>
        <w:t xml:space="preserve">Является дополнительным источником витаминов и минералов, необходимых для нормальной жизнедеятельности организма, улучшения физической и умственной работоспособности. </w:t>
      </w:r>
    </w:p>
    <w:p>
      <w:pPr>
        <w:pStyle w:val="2"/>
        <w:rPr>
          <w:rFonts w:ascii="Times New Roman" w:hAnsi="Times New Roman"/>
          <w:sz w:val="28"/>
          <w:szCs w:val="28"/>
        </w:rPr>
      </w:pPr>
      <w:r>
        <w:rPr>
          <w:rFonts w:ascii="Times New Roman" w:hAnsi="Times New Roman"/>
          <w:sz w:val="28"/>
          <w:szCs w:val="28"/>
        </w:rPr>
        <w:t>Состав:</w:t>
      </w:r>
    </w:p>
    <w:p>
      <w:pPr>
        <w:pStyle w:val="Style12"/>
        <w:rPr>
          <w:rFonts w:ascii="Times New Roman" w:hAnsi="Times New Roman"/>
          <w:sz w:val="28"/>
          <w:szCs w:val="28"/>
        </w:rPr>
      </w:pPr>
      <w:r>
        <w:rPr>
          <w:rFonts w:ascii="Times New Roman" w:hAnsi="Times New Roman"/>
          <w:sz w:val="28"/>
          <w:szCs w:val="28"/>
        </w:rPr>
        <w:t xml:space="preserve">Декстроза, регуляторы кислотности (лимонная кислота, натрия гидрокарбонат), стабилизатор полиэтиленгликоль, L- аскорбиновая кислота, никотинамид, магния сульфат, подсластитель аспартам, D-пантотенат кальция, ароматизатор, DL-альфа- токоферола ацетат, цинка сульфат, железа сульфат, марганца сульфат, кальция фосфат, рибофлавин, натрия селенит, пиридоксин гидрохлорид, тиамина мононитрат, меди сульфат, ретинола ацетат, фолиевая кислота, калия йодид, цианокобаламин, натрия молибдат. Содержит источник фенилаланина. </w:t>
      </w:r>
    </w:p>
    <w:p>
      <w:pPr>
        <w:pStyle w:val="Style12"/>
        <w:rPr>
          <w:rFonts w:ascii="Times New Roman" w:hAnsi="Times New Roman"/>
          <w:sz w:val="28"/>
          <w:szCs w:val="28"/>
        </w:rPr>
      </w:pPr>
      <w:r>
        <w:rPr/>
      </w:r>
    </w:p>
    <w:tbl>
      <w:tblPr>
        <w:tblW w:w="5018" w:type="dxa"/>
        <w:jc w:val="left"/>
        <w:tblInd w:w="28" w:type="dxa"/>
        <w:tblLayout w:type="fixed"/>
        <w:tblCellMar>
          <w:top w:w="28" w:type="dxa"/>
          <w:left w:w="28" w:type="dxa"/>
          <w:bottom w:w="28" w:type="dxa"/>
          <w:right w:w="28" w:type="dxa"/>
        </w:tblCellMar>
      </w:tblPr>
      <w:tblGrid>
        <w:gridCol w:w="3430"/>
        <w:gridCol w:w="1042"/>
        <w:gridCol w:w="546"/>
      </w:tblGrid>
      <w:tr>
        <w:trPr/>
        <w:tc>
          <w:tcPr>
            <w:tcW w:w="3430"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Витамин С (аскорбиновая кислота) </w:t>
            </w:r>
          </w:p>
        </w:tc>
        <w:tc>
          <w:tcPr>
            <w:tcW w:w="1042"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75,0 мг </w:t>
            </w:r>
          </w:p>
        </w:tc>
        <w:tc>
          <w:tcPr>
            <w:tcW w:w="546"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125 </w:t>
            </w:r>
          </w:p>
        </w:tc>
      </w:tr>
      <w:tr>
        <w:trPr/>
        <w:tc>
          <w:tcPr>
            <w:tcW w:w="3430"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Витамин РР (никотинамид) </w:t>
            </w:r>
          </w:p>
        </w:tc>
        <w:tc>
          <w:tcPr>
            <w:tcW w:w="1042"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20,0 мг </w:t>
            </w:r>
          </w:p>
        </w:tc>
        <w:tc>
          <w:tcPr>
            <w:tcW w:w="546"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111 </w:t>
            </w:r>
          </w:p>
        </w:tc>
      </w:tr>
      <w:tr>
        <w:trPr/>
        <w:tc>
          <w:tcPr>
            <w:tcW w:w="3430"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Пантотеновая кислота </w:t>
            </w:r>
          </w:p>
        </w:tc>
        <w:tc>
          <w:tcPr>
            <w:tcW w:w="1042"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9,0 мг </w:t>
            </w:r>
          </w:p>
        </w:tc>
        <w:tc>
          <w:tcPr>
            <w:tcW w:w="546"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150 </w:t>
            </w:r>
          </w:p>
        </w:tc>
      </w:tr>
      <w:tr>
        <w:trPr/>
        <w:tc>
          <w:tcPr>
            <w:tcW w:w="3430"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Витамин Е (токоферол) </w:t>
            </w:r>
          </w:p>
        </w:tc>
        <w:tc>
          <w:tcPr>
            <w:tcW w:w="1042"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6,7 мг </w:t>
            </w:r>
          </w:p>
        </w:tc>
        <w:tc>
          <w:tcPr>
            <w:tcW w:w="546"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67 </w:t>
            </w:r>
          </w:p>
        </w:tc>
      </w:tr>
      <w:tr>
        <w:trPr/>
        <w:tc>
          <w:tcPr>
            <w:tcW w:w="3430"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Витамин В2 (рибофлавин) </w:t>
            </w:r>
          </w:p>
        </w:tc>
        <w:tc>
          <w:tcPr>
            <w:tcW w:w="1042"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2,0 мг </w:t>
            </w:r>
          </w:p>
        </w:tc>
        <w:tc>
          <w:tcPr>
            <w:tcW w:w="546"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125 </w:t>
            </w:r>
          </w:p>
        </w:tc>
      </w:tr>
      <w:tr>
        <w:trPr/>
        <w:tc>
          <w:tcPr>
            <w:tcW w:w="3430"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Витамин В6 (пиридоксин) </w:t>
            </w:r>
          </w:p>
        </w:tc>
        <w:tc>
          <w:tcPr>
            <w:tcW w:w="1042"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1,64 мг </w:t>
            </w:r>
          </w:p>
        </w:tc>
        <w:tc>
          <w:tcPr>
            <w:tcW w:w="546"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82 </w:t>
            </w:r>
          </w:p>
        </w:tc>
      </w:tr>
      <w:tr>
        <w:trPr/>
        <w:tc>
          <w:tcPr>
            <w:tcW w:w="3430"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Витамин В1 (тиамин) </w:t>
            </w:r>
          </w:p>
        </w:tc>
        <w:tc>
          <w:tcPr>
            <w:tcW w:w="1042"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1,6 мг </w:t>
            </w:r>
          </w:p>
        </w:tc>
        <w:tc>
          <w:tcPr>
            <w:tcW w:w="546"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114 </w:t>
            </w:r>
          </w:p>
        </w:tc>
      </w:tr>
      <w:tr>
        <w:trPr/>
        <w:tc>
          <w:tcPr>
            <w:tcW w:w="3430"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Витамин А (ретинол) </w:t>
            </w:r>
          </w:p>
        </w:tc>
        <w:tc>
          <w:tcPr>
            <w:tcW w:w="1042"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900,0 мкг </w:t>
            </w:r>
          </w:p>
        </w:tc>
        <w:tc>
          <w:tcPr>
            <w:tcW w:w="546"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113 </w:t>
            </w:r>
          </w:p>
        </w:tc>
      </w:tr>
      <w:tr>
        <w:trPr/>
        <w:tc>
          <w:tcPr>
            <w:tcW w:w="3430"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Фолиевая кислота </w:t>
            </w:r>
          </w:p>
        </w:tc>
        <w:tc>
          <w:tcPr>
            <w:tcW w:w="1042"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200,0 мкг </w:t>
            </w:r>
          </w:p>
        </w:tc>
        <w:tc>
          <w:tcPr>
            <w:tcW w:w="546"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100 </w:t>
            </w:r>
          </w:p>
        </w:tc>
      </w:tr>
      <w:tr>
        <w:trPr/>
        <w:tc>
          <w:tcPr>
            <w:tcW w:w="3430"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Витамин В12 (цианокобаламин) </w:t>
            </w:r>
          </w:p>
        </w:tc>
        <w:tc>
          <w:tcPr>
            <w:tcW w:w="1042"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5,0 мкг </w:t>
            </w:r>
          </w:p>
        </w:tc>
        <w:tc>
          <w:tcPr>
            <w:tcW w:w="546"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500 </w:t>
            </w:r>
          </w:p>
        </w:tc>
      </w:tr>
      <w:tr>
        <w:trPr/>
        <w:tc>
          <w:tcPr>
            <w:tcW w:w="3430"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Кальций </w:t>
            </w:r>
          </w:p>
        </w:tc>
        <w:tc>
          <w:tcPr>
            <w:tcW w:w="1042"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10,0 мг </w:t>
            </w:r>
          </w:p>
        </w:tc>
        <w:tc>
          <w:tcPr>
            <w:tcW w:w="546"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1 </w:t>
            </w:r>
          </w:p>
        </w:tc>
      </w:tr>
      <w:tr>
        <w:trPr/>
        <w:tc>
          <w:tcPr>
            <w:tcW w:w="3430"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Магний </w:t>
            </w:r>
          </w:p>
        </w:tc>
        <w:tc>
          <w:tcPr>
            <w:tcW w:w="1042"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8,0 мг </w:t>
            </w:r>
          </w:p>
        </w:tc>
        <w:tc>
          <w:tcPr>
            <w:tcW w:w="546"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2 </w:t>
            </w:r>
          </w:p>
        </w:tc>
      </w:tr>
      <w:tr>
        <w:trPr/>
        <w:tc>
          <w:tcPr>
            <w:tcW w:w="3430"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Цинк </w:t>
            </w:r>
          </w:p>
        </w:tc>
        <w:tc>
          <w:tcPr>
            <w:tcW w:w="1042"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2,4 мг </w:t>
            </w:r>
          </w:p>
        </w:tc>
        <w:tc>
          <w:tcPr>
            <w:tcW w:w="546"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16 </w:t>
            </w:r>
          </w:p>
        </w:tc>
      </w:tr>
      <w:tr>
        <w:trPr/>
        <w:tc>
          <w:tcPr>
            <w:tcW w:w="3430"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Железо </w:t>
            </w:r>
          </w:p>
        </w:tc>
        <w:tc>
          <w:tcPr>
            <w:tcW w:w="1042"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2,0 мг </w:t>
            </w:r>
          </w:p>
        </w:tc>
        <w:tc>
          <w:tcPr>
            <w:tcW w:w="546"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14 </w:t>
            </w:r>
          </w:p>
        </w:tc>
      </w:tr>
      <w:tr>
        <w:trPr/>
        <w:tc>
          <w:tcPr>
            <w:tcW w:w="3430"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Марганец </w:t>
            </w:r>
          </w:p>
        </w:tc>
        <w:tc>
          <w:tcPr>
            <w:tcW w:w="1042"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1,2 мг </w:t>
            </w:r>
          </w:p>
        </w:tc>
        <w:tc>
          <w:tcPr>
            <w:tcW w:w="546"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r>
          </w:p>
        </w:tc>
      </w:tr>
      <w:tr>
        <w:trPr/>
        <w:tc>
          <w:tcPr>
            <w:tcW w:w="3430"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Медь </w:t>
            </w:r>
          </w:p>
        </w:tc>
        <w:tc>
          <w:tcPr>
            <w:tcW w:w="1042"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0,4 мг </w:t>
            </w:r>
          </w:p>
        </w:tc>
        <w:tc>
          <w:tcPr>
            <w:tcW w:w="546"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r>
          </w:p>
        </w:tc>
      </w:tr>
      <w:tr>
        <w:trPr/>
        <w:tc>
          <w:tcPr>
            <w:tcW w:w="3430"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Йод </w:t>
            </w:r>
          </w:p>
        </w:tc>
        <w:tc>
          <w:tcPr>
            <w:tcW w:w="1042"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100 мкг </w:t>
            </w:r>
          </w:p>
        </w:tc>
        <w:tc>
          <w:tcPr>
            <w:tcW w:w="546"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67 </w:t>
            </w:r>
          </w:p>
        </w:tc>
      </w:tr>
      <w:tr>
        <w:trPr/>
        <w:tc>
          <w:tcPr>
            <w:tcW w:w="3430"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Селен </w:t>
            </w:r>
          </w:p>
        </w:tc>
        <w:tc>
          <w:tcPr>
            <w:tcW w:w="1042"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20,0 мкг </w:t>
            </w:r>
          </w:p>
        </w:tc>
        <w:tc>
          <w:tcPr>
            <w:tcW w:w="546"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29 </w:t>
            </w:r>
          </w:p>
        </w:tc>
      </w:tr>
      <w:tr>
        <w:trPr/>
        <w:tc>
          <w:tcPr>
            <w:tcW w:w="3430"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Молибден </w:t>
            </w:r>
          </w:p>
        </w:tc>
        <w:tc>
          <w:tcPr>
            <w:tcW w:w="1042"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t xml:space="preserve">14,0 мкг </w:t>
            </w:r>
          </w:p>
        </w:tc>
        <w:tc>
          <w:tcPr>
            <w:tcW w:w="546" w:type="dxa"/>
            <w:tcBorders/>
            <w:vAlign w:val="center"/>
          </w:tcPr>
          <w:p>
            <w:pPr>
              <w:pStyle w:val="Style16"/>
              <w:spacing w:before="0" w:after="160"/>
              <w:rPr>
                <w:rFonts w:ascii="Times New Roman" w:hAnsi="Times New Roman"/>
                <w:sz w:val="28"/>
                <w:szCs w:val="28"/>
              </w:rPr>
            </w:pPr>
            <w:r>
              <w:rPr>
                <w:rFonts w:ascii="Times New Roman" w:hAnsi="Times New Roman"/>
                <w:sz w:val="28"/>
                <w:szCs w:val="28"/>
              </w:rPr>
            </w:r>
          </w:p>
        </w:tc>
      </w:tr>
    </w:tbl>
    <w:p>
      <w:pPr>
        <w:pStyle w:val="Style12"/>
        <w:rPr>
          <w:rFonts w:ascii="Times New Roman" w:hAnsi="Times New Roman"/>
          <w:sz w:val="28"/>
          <w:szCs w:val="28"/>
        </w:rPr>
      </w:pPr>
      <w:r>
        <w:rPr/>
      </w:r>
    </w:p>
    <w:p>
      <w:pPr>
        <w:pStyle w:val="3"/>
        <w:rPr>
          <w:rFonts w:ascii="Times New Roman" w:hAnsi="Times New Roman"/>
          <w:sz w:val="28"/>
          <w:szCs w:val="28"/>
        </w:rPr>
      </w:pPr>
      <w:r>
        <w:rPr>
          <w:rFonts w:ascii="Times New Roman" w:hAnsi="Times New Roman"/>
          <w:sz w:val="28"/>
          <w:szCs w:val="28"/>
        </w:rPr>
        <w:t>Способ применения и дозы</w:t>
      </w:r>
    </w:p>
    <w:p>
      <w:pPr>
        <w:pStyle w:val="Style12"/>
        <w:spacing w:before="0" w:after="0"/>
        <w:rPr>
          <w:rFonts w:ascii="Times New Roman" w:hAnsi="Times New Roman"/>
          <w:sz w:val="28"/>
          <w:szCs w:val="28"/>
        </w:rPr>
      </w:pPr>
      <w:r>
        <w:rPr>
          <w:rFonts w:ascii="Times New Roman" w:hAnsi="Times New Roman"/>
          <w:sz w:val="28"/>
          <w:szCs w:val="28"/>
        </w:rPr>
        <w:t>Взрослым – по одной таблетке в день во время или после еды. Таблетку перед употреблением растворить в стакане (200 мл) питьевой воды.</w:t>
      </w:r>
    </w:p>
    <w:p>
      <w:pPr>
        <w:pStyle w:val="Style12"/>
        <w:rPr>
          <w:rFonts w:ascii="Times New Roman" w:hAnsi="Times New Roman"/>
          <w:sz w:val="28"/>
          <w:szCs w:val="28"/>
        </w:rPr>
      </w:pPr>
      <w:r>
        <w:rPr/>
      </w:r>
    </w:p>
    <w:p>
      <w:pPr>
        <w:pStyle w:val="3"/>
        <w:rPr>
          <w:rFonts w:ascii="Times New Roman" w:hAnsi="Times New Roman"/>
          <w:sz w:val="28"/>
          <w:szCs w:val="28"/>
        </w:rPr>
      </w:pPr>
      <w:r>
        <w:rPr>
          <w:rFonts w:ascii="Times New Roman" w:hAnsi="Times New Roman"/>
          <w:sz w:val="28"/>
          <w:szCs w:val="28"/>
        </w:rPr>
        <w:t>Противопоказания</w:t>
      </w:r>
    </w:p>
    <w:p>
      <w:pPr>
        <w:pStyle w:val="Style12"/>
        <w:spacing w:before="0" w:after="0"/>
        <w:rPr>
          <w:rFonts w:ascii="Times New Roman" w:hAnsi="Times New Roman"/>
          <w:sz w:val="28"/>
          <w:szCs w:val="28"/>
        </w:rPr>
      </w:pPr>
      <w:r>
        <w:rPr>
          <w:rFonts w:ascii="Times New Roman" w:hAnsi="Times New Roman"/>
          <w:sz w:val="28"/>
          <w:szCs w:val="28"/>
        </w:rPr>
        <w:t>Индивидуальная непереносимость компонентов, фенилкетонурия.</w:t>
      </w:r>
    </w:p>
    <w:p>
      <w:pPr>
        <w:pStyle w:val="Style12"/>
        <w:rPr>
          <w:rFonts w:ascii="Times New Roman" w:hAnsi="Times New Roman"/>
          <w:sz w:val="28"/>
          <w:szCs w:val="28"/>
        </w:rPr>
      </w:pPr>
      <w:r>
        <w:rPr/>
      </w:r>
    </w:p>
    <w:p>
      <w:pPr>
        <w:pStyle w:val="2"/>
        <w:rPr>
          <w:rFonts w:ascii="Times New Roman" w:hAnsi="Times New Roman"/>
          <w:sz w:val="28"/>
          <w:szCs w:val="28"/>
        </w:rPr>
      </w:pPr>
      <w:r>
        <w:rPr>
          <w:rFonts w:ascii="Times New Roman" w:hAnsi="Times New Roman"/>
          <w:sz w:val="28"/>
          <w:szCs w:val="28"/>
        </w:rPr>
        <w:t>Условия хранения</w:t>
      </w:r>
    </w:p>
    <w:p>
      <w:pPr>
        <w:pStyle w:val="Style12"/>
        <w:rPr>
          <w:rFonts w:ascii="Times New Roman" w:hAnsi="Times New Roman"/>
          <w:sz w:val="28"/>
          <w:szCs w:val="28"/>
        </w:rPr>
      </w:pPr>
      <w:r>
        <w:rPr>
          <w:rFonts w:ascii="Times New Roman" w:hAnsi="Times New Roman"/>
          <w:sz w:val="28"/>
          <w:szCs w:val="28"/>
        </w:rPr>
        <w:t xml:space="preserve">Хранить в недоступном для детей месте при температуре не выше 25 °С и относительной влажности не выше 70%. </w:t>
      </w:r>
    </w:p>
    <w:p>
      <w:pPr>
        <w:pStyle w:val="Style12"/>
        <w:rPr>
          <w:rFonts w:ascii="Times New Roman" w:hAnsi="Times New Roman"/>
        </w:rPr>
      </w:pPr>
      <w:r>
        <w:rPr>
          <w:rFonts w:ascii="Times New Roman" w:hAnsi="Times New Roman"/>
        </w:rPr>
      </w:r>
    </w:p>
    <w:p>
      <w:pPr>
        <w:pStyle w:val="Style12"/>
        <w:spacing w:lineRule="auto" w:line="240" w:before="0" w:after="0"/>
        <w:jc w:val="left"/>
        <w:rPr>
          <w:rFonts w:ascii="Times New Roman" w:hAnsi="Times New Roman"/>
        </w:rPr>
      </w:pPr>
      <w:r>
        <w:rPr>
          <w:rFonts w:ascii="Times New Roman" w:hAnsi="Times New Roman"/>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erif">
    <w:altName w:val="Times New Roman"/>
    <w:charset w:val="cc"/>
    <w:family w:val="swiss"/>
    <w:pitch w:val="variable"/>
  </w:font>
  <w:font w:name="Liberation Sans">
    <w:altName w:val="Arial"/>
    <w:charset w:val="cc"/>
    <w:family w:val="roman"/>
    <w:pitch w:val="variable"/>
  </w:font>
  <w:font w:name="Times New Roman">
    <w:charset w:val="cc"/>
    <w:family w:val="roman"/>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Style11"/>
    <w:next w:val="Style12"/>
    <w:qFormat/>
    <w:pPr>
      <w:spacing w:before="240" w:after="120"/>
      <w:outlineLvl w:val="0"/>
    </w:pPr>
    <w:rPr>
      <w:rFonts w:ascii="Liberation Serif" w:hAnsi="Liberation Serif" w:eastAsia="Segoe UI" w:cs="Tahoma"/>
      <w:b/>
      <w:bCs/>
      <w:sz w:val="48"/>
      <w:szCs w:val="48"/>
    </w:rPr>
  </w:style>
  <w:style w:type="paragraph" w:styleId="2">
    <w:name w:val="Heading 2"/>
    <w:basedOn w:val="Style11"/>
    <w:next w:val="Style12"/>
    <w:qFormat/>
    <w:pPr>
      <w:spacing w:before="200" w:after="120"/>
      <w:outlineLvl w:val="1"/>
    </w:pPr>
    <w:rPr>
      <w:rFonts w:ascii="Liberation Serif" w:hAnsi="Liberation Serif" w:eastAsia="Segoe UI" w:cs="Tahoma"/>
      <w:b/>
      <w:bCs/>
      <w:sz w:val="36"/>
      <w:szCs w:val="36"/>
    </w:rPr>
  </w:style>
  <w:style w:type="paragraph" w:styleId="3">
    <w:name w:val="Heading 3"/>
    <w:basedOn w:val="Style11"/>
    <w:next w:val="Style12"/>
    <w:qFormat/>
    <w:pPr>
      <w:spacing w:before="140" w:after="120"/>
      <w:outlineLvl w:val="2"/>
    </w:pPr>
    <w:rPr>
      <w:rFonts w:ascii="Liberation Serif" w:hAnsi="Liberation Serif" w:eastAsia="Segoe UI" w:cs="Tahoma"/>
      <w:b/>
      <w:bCs/>
      <w:sz w:val="28"/>
      <w:szCs w:val="28"/>
    </w:rPr>
  </w:style>
  <w:style w:type="character" w:styleId="DefaultParagraphFont" w:default="1">
    <w:name w:val="Default Paragraph Font"/>
    <w:uiPriority w:val="1"/>
    <w:semiHidden/>
    <w:unhideWhenUsed/>
    <w:qFormat/>
    <w:rPr/>
  </w:style>
  <w:style w:type="paragraph" w:styleId="Style11">
    <w:name w:val="Заголовок"/>
    <w:basedOn w:val="Normal"/>
    <w:next w:val="Style12"/>
    <w:qFormat/>
    <w:pPr>
      <w:keepNext w:val="true"/>
      <w:spacing w:before="240" w:after="120"/>
    </w:pPr>
    <w:rPr>
      <w:rFonts w:ascii="Liberation Sans" w:hAnsi="Liberation Sans" w:eastAsia="Microsoft YaHei" w:cs="Arial"/>
      <w:sz w:val="28"/>
      <w:szCs w:val="28"/>
    </w:rPr>
  </w:style>
  <w:style w:type="paragraph" w:styleId="Style12">
    <w:name w:val="Body Text"/>
    <w:basedOn w:val="Normal"/>
    <w:pPr>
      <w:spacing w:lineRule="auto" w:line="276" w:before="0" w:after="140"/>
    </w:pPr>
    <w:rPr/>
  </w:style>
  <w:style w:type="paragraph" w:styleId="Style13">
    <w:name w:val="List"/>
    <w:basedOn w:val="Style12"/>
    <w:pPr/>
    <w:rPr>
      <w:rFonts w:cs="Arial"/>
    </w:rPr>
  </w:style>
  <w:style w:type="paragraph" w:styleId="Style14">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lang w:val="zxx" w:eastAsia="zxx" w:bidi="zxx"/>
    </w:rPr>
  </w:style>
  <w:style w:type="paragraph" w:styleId="Style16">
    <w:name w:val="Содержимое таблицы"/>
    <w:basedOn w:val="Normal"/>
    <w:qFormat/>
    <w:pPr>
      <w:widowControl w:val="false"/>
      <w:suppressLineNumbers/>
    </w:pPr>
    <w:rPr/>
  </w:style>
  <w:style w:type="paragraph" w:styleId="Style17">
    <w:name w:val="Заголовок таблицы"/>
    <w:basedOn w:val="Style16"/>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Application>LibreOffice/7.3.5.2$Windows_X86_64 LibreOffice_project/184fe81b8c8c30d8b5082578aee2fed2ea847c01</Application>
  <AppVersion>15.0000</AppVersion>
  <Pages>2</Pages>
  <Words>231</Words>
  <Characters>1450</Characters>
  <CharactersWithSpaces>1675</CharactersWithSpaces>
  <Paragraphs>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2021-07-30T05:09:00Z</dcterms:created>
  <dc:creator>Надежда Иванчикова</dc:creator>
  <dc:description/>
  <dc:language>ru-RU</dc:language>
  <cp:lastModifiedBy/>
  <dcterms:modified xsi:type="dcterms:W3CDTF">2026-07-24T10:43:47Z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