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6C" w:rsidRPr="00BF5D6C" w:rsidRDefault="00BF5D6C" w:rsidP="00BF5D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/>
        </w:rPr>
      </w:pPr>
      <w:r w:rsidRPr="00BF5D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/>
        </w:rPr>
        <w:t xml:space="preserve">Swiss Energy ACTIVE </w:t>
      </w:r>
      <w:r w:rsidRPr="00BF5D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таблетки</w:t>
      </w:r>
      <w:r w:rsidRPr="00BF5D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/>
        </w:rPr>
        <w:t xml:space="preserve"> </w:t>
      </w:r>
      <w:r w:rsidRPr="00BF5D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шипучие</w:t>
      </w:r>
      <w:r w:rsidRPr="00BF5D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/>
        </w:rPr>
        <w:t xml:space="preserve"> № 20</w:t>
      </w:r>
    </w:p>
    <w:p w:rsidR="00BF5D6C" w:rsidRPr="00BF5D6C" w:rsidRDefault="00BF5D6C" w:rsidP="00B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D6C">
        <w:rPr>
          <w:rFonts w:ascii="Times New Roman" w:eastAsia="Times New Roman" w:hAnsi="Times New Roman" w:cs="Times New Roman"/>
          <w:sz w:val="28"/>
          <w:szCs w:val="28"/>
        </w:rPr>
        <w:t xml:space="preserve">Может использоваться в качестве дополнительного источника витаминов, минералов и </w:t>
      </w:r>
      <w:proofErr w:type="spellStart"/>
      <w:r w:rsidRPr="00BF5D6C">
        <w:rPr>
          <w:rFonts w:ascii="Times New Roman" w:eastAsia="Times New Roman" w:hAnsi="Times New Roman" w:cs="Times New Roman"/>
          <w:sz w:val="28"/>
          <w:szCs w:val="28"/>
        </w:rPr>
        <w:t>ликопина</w:t>
      </w:r>
      <w:proofErr w:type="spellEnd"/>
      <w:r w:rsidRPr="00BF5D6C">
        <w:rPr>
          <w:rFonts w:ascii="Times New Roman" w:eastAsia="Times New Roman" w:hAnsi="Times New Roman" w:cs="Times New Roman"/>
          <w:sz w:val="28"/>
          <w:szCs w:val="28"/>
        </w:rPr>
        <w:t>, который известен своими антиоксидантными свойствами. Способствует нормализации обмена веществ. Рекомендован для людей, ведущих активный образ жизни.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1153"/>
      </w:tblGrid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C /L-аскорбиновая кислота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Витамин B1 /Тиамина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мононитрат</w:t>
            </w:r>
            <w:proofErr w:type="spellEnd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B2 /Рибофлавин-5-фосфат натрия/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B3 (NE) /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Никотинамид</w:t>
            </w:r>
            <w:proofErr w:type="spellEnd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E (a-TE) /D, L-альфа-токоферола ацетат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28,68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B6 /Пиридоксина гидрохлорид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B9 /Фолиевая кислота/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μg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D3 /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Холекальциферол</w:t>
            </w:r>
            <w:proofErr w:type="spellEnd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μg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B12 /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Цианокобаламин</w:t>
            </w:r>
            <w:proofErr w:type="spellEnd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μg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Витамин A /Бета-каротин/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Ликопин</w:t>
            </w:r>
            <w:proofErr w:type="spellEnd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Убихинон</w:t>
            </w:r>
            <w:proofErr w:type="spellEnd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μg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Марганец /Марганец сульфат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Медь /Сульфат меди/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 /Сульфат магния и оксид магния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 /Сульфат железа/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BF5D6C" w:rsidRPr="00BF5D6C" w:rsidTr="00BF5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Цинк /Сульфат цинка /</w:t>
            </w:r>
          </w:p>
        </w:tc>
        <w:tc>
          <w:tcPr>
            <w:tcW w:w="0" w:type="auto"/>
            <w:vAlign w:val="center"/>
            <w:hideMark/>
          </w:tcPr>
          <w:p w:rsidR="00BF5D6C" w:rsidRPr="00BF5D6C" w:rsidRDefault="00BF5D6C" w:rsidP="00BF5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F5D6C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</w:tbl>
    <w:p w:rsidR="00BF5D6C" w:rsidRPr="00BF5D6C" w:rsidRDefault="00BF5D6C" w:rsidP="00BF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D6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</w:p>
    <w:p w:rsidR="00BF5D6C" w:rsidRPr="00BF5D6C" w:rsidRDefault="00BF5D6C" w:rsidP="00B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D6C">
        <w:rPr>
          <w:rFonts w:ascii="Times New Roman" w:eastAsia="Times New Roman" w:hAnsi="Times New Roman" w:cs="Times New Roman"/>
          <w:sz w:val="28"/>
          <w:szCs w:val="28"/>
        </w:rPr>
        <w:t>Специально разработанный комплекс витаминов и минералов для людей, ведущих активный образ жизни. Комплекс витаминов С, В, Е в сочетании с минералами (железо, магний, цинк) поддерживает сердечно-сосудистую систему, улучшает мышечный тонус, способствует расщеплению жиров, а также укрепляет иммунную систему. Комплекс активизирует внутриклеточный обмен веществ, обеспечивает восстановление и регуляцию всех обменных процессов, насыщает клетки полезными компонентами и способствует выводу токсинов из организма, что делает его незаменимым при сильных физических и умственных нагрузках.</w:t>
      </w:r>
    </w:p>
    <w:p w:rsidR="00BF5D6C" w:rsidRPr="00BF5D6C" w:rsidRDefault="00BF5D6C" w:rsidP="00BF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D6C">
        <w:rPr>
          <w:rFonts w:ascii="Times New Roman" w:eastAsia="Times New Roman" w:hAnsi="Times New Roman" w:cs="Times New Roman"/>
          <w:sz w:val="28"/>
          <w:szCs w:val="28"/>
        </w:rPr>
        <w:t>Ликопин</w:t>
      </w:r>
      <w:proofErr w:type="spellEnd"/>
      <w:r w:rsidRPr="00BF5D6C">
        <w:rPr>
          <w:rFonts w:ascii="Times New Roman" w:eastAsia="Times New Roman" w:hAnsi="Times New Roman" w:cs="Times New Roman"/>
          <w:sz w:val="28"/>
          <w:szCs w:val="28"/>
        </w:rPr>
        <w:t xml:space="preserve"> является эффективным антиоксидантом. Он расщепляет жиры, способствует уменьшению уровня холестерина, снижая риск сердечно-сосудистых заболеваний. Он также укрепляет стенки кровеносных сосудов, обладает антибактериальным и противовоспалительным эффектом. Дефицит </w:t>
      </w:r>
      <w:proofErr w:type="spellStart"/>
      <w:r w:rsidRPr="00BF5D6C">
        <w:rPr>
          <w:rFonts w:ascii="Times New Roman" w:eastAsia="Times New Roman" w:hAnsi="Times New Roman" w:cs="Times New Roman"/>
          <w:sz w:val="28"/>
          <w:szCs w:val="28"/>
        </w:rPr>
        <w:t>ликопина</w:t>
      </w:r>
      <w:proofErr w:type="spellEnd"/>
      <w:r w:rsidRPr="00BF5D6C">
        <w:rPr>
          <w:rFonts w:ascii="Times New Roman" w:eastAsia="Times New Roman" w:hAnsi="Times New Roman" w:cs="Times New Roman"/>
          <w:sz w:val="28"/>
          <w:szCs w:val="28"/>
        </w:rPr>
        <w:t xml:space="preserve"> не имеет симптоматики, но недостаточное его количество в </w:t>
      </w:r>
      <w:r w:rsidRPr="00BF5D6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организме может привести к развитию хронических болезней сердца и развитию рака.</w:t>
      </w:r>
    </w:p>
    <w:p w:rsidR="004B79DE" w:rsidRPr="004B79DE" w:rsidRDefault="004B79DE" w:rsidP="004B79DE">
      <w:pPr>
        <w:pStyle w:val="3"/>
        <w:rPr>
          <w:sz w:val="28"/>
          <w:szCs w:val="28"/>
        </w:rPr>
      </w:pPr>
      <w:bookmarkStart w:id="0" w:name="_GoBack"/>
      <w:r w:rsidRPr="004B79DE">
        <w:rPr>
          <w:sz w:val="28"/>
          <w:szCs w:val="28"/>
        </w:rPr>
        <w:t>Дозировка</w:t>
      </w:r>
    </w:p>
    <w:p w:rsidR="004B79DE" w:rsidRPr="004B79DE" w:rsidRDefault="004B79DE" w:rsidP="004B79DE">
      <w:pPr>
        <w:pStyle w:val="a3"/>
        <w:rPr>
          <w:sz w:val="28"/>
          <w:szCs w:val="28"/>
        </w:rPr>
      </w:pPr>
      <w:r w:rsidRPr="004B79DE">
        <w:rPr>
          <w:rStyle w:val="a5"/>
          <w:sz w:val="28"/>
          <w:szCs w:val="28"/>
        </w:rPr>
        <w:t>Рекомендуемая доза:</w:t>
      </w:r>
      <w:r w:rsidRPr="004B79DE">
        <w:rPr>
          <w:sz w:val="28"/>
          <w:szCs w:val="28"/>
        </w:rPr>
        <w:t xml:space="preserve"> 1 таблетка в сутки.</w:t>
      </w:r>
    </w:p>
    <w:p w:rsidR="004B79DE" w:rsidRPr="004B79DE" w:rsidRDefault="004B79DE" w:rsidP="004B79DE">
      <w:pPr>
        <w:pStyle w:val="a3"/>
        <w:rPr>
          <w:sz w:val="28"/>
          <w:szCs w:val="28"/>
        </w:rPr>
      </w:pPr>
      <w:r w:rsidRPr="004B79DE">
        <w:rPr>
          <w:rStyle w:val="a5"/>
          <w:sz w:val="28"/>
          <w:szCs w:val="28"/>
        </w:rPr>
        <w:t>Способ применения:</w:t>
      </w:r>
      <w:r w:rsidRPr="004B79DE">
        <w:rPr>
          <w:sz w:val="28"/>
          <w:szCs w:val="28"/>
        </w:rPr>
        <w:t xml:space="preserve"> взрослым и детям старше 14 лет растворить одну таблетку в 200 мл (стакане) воды. Употреблять один раз в сутки </w:t>
      </w:r>
      <w:proofErr w:type="gramStart"/>
      <w:r w:rsidRPr="004B79DE">
        <w:rPr>
          <w:sz w:val="28"/>
          <w:szCs w:val="28"/>
        </w:rPr>
        <w:t>во время</w:t>
      </w:r>
      <w:proofErr w:type="gramEnd"/>
      <w:r w:rsidRPr="004B79DE">
        <w:rPr>
          <w:sz w:val="28"/>
          <w:szCs w:val="28"/>
        </w:rPr>
        <w:t xml:space="preserve"> или после еды. Перед применением рекомендуется проконсультироваться с врачом.</w:t>
      </w:r>
    </w:p>
    <w:p w:rsidR="004B79DE" w:rsidRPr="004B79DE" w:rsidRDefault="004B79DE" w:rsidP="004B79DE">
      <w:pPr>
        <w:pStyle w:val="a3"/>
        <w:rPr>
          <w:sz w:val="28"/>
          <w:szCs w:val="28"/>
        </w:rPr>
      </w:pPr>
      <w:r w:rsidRPr="004B79DE">
        <w:rPr>
          <w:rStyle w:val="a5"/>
          <w:sz w:val="28"/>
          <w:szCs w:val="28"/>
        </w:rPr>
        <w:t>Предупреждение:</w:t>
      </w:r>
      <w:r w:rsidRPr="004B79DE">
        <w:rPr>
          <w:sz w:val="28"/>
          <w:szCs w:val="28"/>
        </w:rPr>
        <w:t xml:space="preserve"> повышенная чувствительность к компонентам. Женщинам в период беременности и лактации нужно проконсультироваться с врачом. Не превышайте рекомендованную суточную дозу. Не употребляйте после срока годности, указанного на упаковке. Не рекомендуется детям до 14 лет. Хранить в недоступном для детей месте. Плотно закрывайте крышку. Перед первым приемом убедитесь в целостности упаковки.</w:t>
      </w:r>
    </w:p>
    <w:p w:rsidR="004B79DE" w:rsidRPr="004B79DE" w:rsidRDefault="004B79DE" w:rsidP="004B79DE">
      <w:pPr>
        <w:pStyle w:val="a3"/>
        <w:rPr>
          <w:sz w:val="28"/>
          <w:szCs w:val="28"/>
        </w:rPr>
      </w:pPr>
      <w:r w:rsidRPr="004B79DE">
        <w:rPr>
          <w:rStyle w:val="a5"/>
          <w:sz w:val="28"/>
          <w:szCs w:val="28"/>
        </w:rPr>
        <w:t>Срок хранения:</w:t>
      </w:r>
      <w:r w:rsidRPr="004B79DE">
        <w:rPr>
          <w:sz w:val="28"/>
          <w:szCs w:val="28"/>
        </w:rPr>
        <w:t xml:space="preserve"> 2 года.</w:t>
      </w:r>
    </w:p>
    <w:p w:rsidR="004B79DE" w:rsidRPr="004B79DE" w:rsidRDefault="004B79DE" w:rsidP="004B79DE">
      <w:pPr>
        <w:pStyle w:val="a3"/>
        <w:rPr>
          <w:sz w:val="28"/>
          <w:szCs w:val="28"/>
        </w:rPr>
      </w:pPr>
      <w:r w:rsidRPr="004B79DE">
        <w:rPr>
          <w:rStyle w:val="a5"/>
          <w:sz w:val="28"/>
          <w:szCs w:val="28"/>
        </w:rPr>
        <w:t>Условия хранения:</w:t>
      </w:r>
      <w:r w:rsidRPr="004B79DE">
        <w:rPr>
          <w:sz w:val="28"/>
          <w:szCs w:val="28"/>
        </w:rPr>
        <w:t xml:space="preserve"> хранить в плотно закрытой первичной упаковке в сухом месте, при температуре до 25 °С. Избегать попадания прямых солнечных лучей. Хранить в недоступном для детей месте.</w:t>
      </w:r>
    </w:p>
    <w:bookmarkEnd w:id="0"/>
    <w:p w:rsidR="00F31B7A" w:rsidRPr="00BF5D6C" w:rsidRDefault="00F31B7A">
      <w:pPr>
        <w:rPr>
          <w:sz w:val="28"/>
          <w:szCs w:val="28"/>
        </w:rPr>
      </w:pPr>
    </w:p>
    <w:sectPr w:rsidR="00F31B7A" w:rsidRPr="00BF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60BD"/>
    <w:multiLevelType w:val="multilevel"/>
    <w:tmpl w:val="126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6C"/>
    <w:rsid w:val="004B79DE"/>
    <w:rsid w:val="00BF5D6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D569-658C-4497-ADCD-153D7A4B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5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F5D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dlineb">
    <w:name w:val="redlineb"/>
    <w:basedOn w:val="a0"/>
    <w:rsid w:val="00BF5D6C"/>
  </w:style>
  <w:style w:type="character" w:customStyle="1" w:styleId="title-se">
    <w:name w:val="title-seс"/>
    <w:basedOn w:val="a0"/>
    <w:rsid w:val="00BF5D6C"/>
  </w:style>
  <w:style w:type="paragraph" w:styleId="a3">
    <w:name w:val="Normal (Web)"/>
    <w:basedOn w:val="a"/>
    <w:uiPriority w:val="99"/>
    <w:semiHidden/>
    <w:unhideWhenUsed/>
    <w:rsid w:val="00BF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5D6C"/>
    <w:rPr>
      <w:color w:val="0000FF"/>
      <w:u w:val="single"/>
    </w:rPr>
  </w:style>
  <w:style w:type="character" w:styleId="a5">
    <w:name w:val="Strong"/>
    <w:basedOn w:val="a0"/>
    <w:uiPriority w:val="22"/>
    <w:qFormat/>
    <w:rsid w:val="004B7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3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9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2021-07-28T12:34:00Z</dcterms:created>
  <dcterms:modified xsi:type="dcterms:W3CDTF">2021-07-28T12:58:00Z</dcterms:modified>
</cp:coreProperties>
</file>